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w:t>《重大执法决定法制审核目录清单》</w:t>
      </w:r>
    </w:p>
    <w:p>
      <w:pPr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b/>
          <w:sz w:val="28"/>
          <w:szCs w:val="28"/>
        </w:rPr>
        <w:t>《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劳动保障监察</w:t>
      </w:r>
      <w:r>
        <w:rPr>
          <w:rFonts w:ascii="Times New Roman" w:hAnsi="Times New Roman" w:eastAsia="仿宋_GB2312" w:cs="Times New Roman"/>
          <w:b/>
          <w:sz w:val="28"/>
          <w:szCs w:val="28"/>
        </w:rPr>
        <w:t>重大执法决定法制审核目录清单》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）</w:t>
      </w:r>
    </w:p>
    <w:p>
      <w:pPr>
        <w:jc w:val="center"/>
        <w:rPr>
          <w:rFonts w:ascii="仿宋_GB2312" w:hAnsi="Courier New" w:eastAsia="仿宋_GB2312" w:cs="Courier New"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Courier New" w:eastAsia="仿宋_GB2312" w:cs="Courier New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Courier New" w:eastAsia="仿宋_GB2312" w:cs="Courier New"/>
          <w:color w:val="000000"/>
          <w:sz w:val="32"/>
          <w:szCs w:val="32"/>
          <w:shd w:val="clear" w:color="auto" w:fill="FFFFFF"/>
        </w:rPr>
        <w:t>行政执法人员是否具备执法资格；主要事实是否清楚，证据是否确凿、充分；适用法律、法规、规章是否准确，执行裁量基准是否适当；程序是否合法；是否有超越职权范围或滥用职权的情形；行政执法文书是否规范、齐备；违法行为是否涉嫌犯罪需要移送司法机关；其他应当审核的内容。</w:t>
      </w:r>
    </w:p>
    <w:p>
      <w:pPr>
        <w:rPr>
          <w:rFonts w:hint="eastAsia" w:ascii="仿宋_GB2312" w:hAnsi="Courier New" w:eastAsia="仿宋_GB2312" w:cs="Courier New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Courier New" w:eastAsia="仿宋_GB2312" w:cs="Courier New"/>
          <w:color w:val="000000"/>
          <w:sz w:val="32"/>
          <w:szCs w:val="32"/>
          <w:shd w:val="clear" w:color="auto" w:fill="FFFFFF"/>
        </w:rPr>
        <w:t>审核时间为7个工作日。</w:t>
      </w:r>
    </w:p>
    <w:p>
      <w:pPr>
        <w:rPr>
          <w:rFonts w:hint="eastAsia" w:ascii="仿宋_GB2312" w:hAnsi="Courier New" w:eastAsia="仿宋_GB2312" w:cs="Courier New"/>
          <w:color w:val="000000"/>
          <w:sz w:val="32"/>
          <w:szCs w:val="32"/>
          <w:shd w:val="clear" w:color="auto" w:fill="FFFFFF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50"/>
        <w:gridCol w:w="958"/>
        <w:gridCol w:w="1262"/>
        <w:gridCol w:w="1044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执法项目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审核范围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申请部门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审核部门</w:t>
            </w:r>
          </w:p>
        </w:tc>
        <w:tc>
          <w:tcPr>
            <w:tcW w:w="1044" w:type="dxa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299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行政处罚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1.罚款1万元以上；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_GB2312" w:hAnsi="微软雅黑" w:eastAsia="仿宋_GB2312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2.当事人提出听证、复议、诉讼的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  <w:szCs w:val="24"/>
              </w:rPr>
              <w:t>支队</w:t>
            </w:r>
          </w:p>
        </w:tc>
        <w:tc>
          <w:tcPr>
            <w:tcW w:w="12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人社局</w:t>
            </w:r>
            <w:bookmarkStart w:id="0" w:name="_GoBack"/>
            <w:bookmarkEnd w:id="0"/>
          </w:p>
        </w:tc>
        <w:tc>
          <w:tcPr>
            <w:tcW w:w="104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  <w:szCs w:val="24"/>
              </w:rPr>
              <w:t>违法事实的证据；查处情况说明；当事人基本情况；拟作出的处罚决定。</w:t>
            </w:r>
          </w:p>
        </w:tc>
        <w:tc>
          <w:tcPr>
            <w:tcW w:w="2991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  <w:szCs w:val="24"/>
              </w:rPr>
              <w:t>行政执法机关主体是否合法，行政执法人员是否具备执法资格；主要事实是否清楚，证据是否确凿、充分；适用法律、法规、规章是否准确，执行裁量基准是否适当；程序是否合法；是否有超越本机关职权范围或滥用职权的情形；行政执法文书是否规范、齐备；违法行为是否涉嫌犯罪需要移送司法机关；其他应当审核的内容。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D3"/>
    <w:rsid w:val="00064CB2"/>
    <w:rsid w:val="001175A8"/>
    <w:rsid w:val="00392AED"/>
    <w:rsid w:val="003B334B"/>
    <w:rsid w:val="0041553D"/>
    <w:rsid w:val="00A1560A"/>
    <w:rsid w:val="00AC162D"/>
    <w:rsid w:val="00DC1AD3"/>
    <w:rsid w:val="6700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2019-12-16T06:15:00Z</dcterms:created>
  <dc:creator>Administrator</dc:creator>
  <cp:lastModifiedBy>HP</cp:lastModifiedBy>
  <dcterms:modified xsi:type="dcterms:W3CDTF">2020-03-03T01:00:06Z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