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  <w:t>4</w:t>
      </w:r>
    </w:p>
    <w:p>
      <w:pPr>
        <w:jc w:val="center"/>
        <w:rPr>
          <w:rFonts w:hint="eastAsia" w:ascii="方正小标宋简体" w:hAnsi="宋体" w:eastAsia="方正小标宋简体"/>
          <w:color w:val="00000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/>
          <w:color w:val="000000"/>
          <w:sz w:val="36"/>
          <w:szCs w:val="36"/>
          <w:lang w:val="en-GB" w:eastAsia="zh-CN"/>
        </w:rPr>
        <w:t>吉林省</w:t>
      </w:r>
      <w:r>
        <w:rPr>
          <w:rFonts w:hint="eastAsia" w:ascii="方正小标宋简体" w:hAnsi="宋体" w:eastAsia="方正小标宋简体"/>
          <w:color w:val="000000"/>
          <w:sz w:val="36"/>
          <w:szCs w:val="36"/>
          <w:lang w:val="en-GB"/>
        </w:rPr>
        <w:t>人力资源服务机构诚信等级评定</w:t>
      </w:r>
      <w:r>
        <w:rPr>
          <w:rFonts w:hint="eastAsia" w:ascii="方正小标宋简体" w:hAnsi="宋体" w:eastAsia="方正小标宋简体"/>
          <w:color w:val="000000"/>
          <w:sz w:val="36"/>
          <w:szCs w:val="36"/>
          <w:lang w:val="en-US" w:eastAsia="zh-CN"/>
        </w:rPr>
        <w:t>项目指标</w:t>
      </w:r>
    </w:p>
    <w:tbl>
      <w:tblPr>
        <w:tblStyle w:val="9"/>
        <w:tblpPr w:leftFromText="180" w:rightFromText="180" w:vertAnchor="text" w:horzAnchor="page" w:tblpX="1041" w:tblpY="454"/>
        <w:tblOverlap w:val="never"/>
        <w:tblW w:w="5782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85" w:type="dxa"/>
          <w:bottom w:w="0" w:type="dxa"/>
          <w:right w:w="85" w:type="dxa"/>
        </w:tblCellMar>
      </w:tblPr>
      <w:tblGrid>
        <w:gridCol w:w="866"/>
        <w:gridCol w:w="1619"/>
        <w:gridCol w:w="1874"/>
        <w:gridCol w:w="4599"/>
        <w:gridCol w:w="771"/>
        <w:gridCol w:w="78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976" w:hRule="atLeast"/>
          <w:tblHeader/>
        </w:trPr>
        <w:tc>
          <w:tcPr>
            <w:tcW w:w="411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kern w:val="0"/>
                <w:sz w:val="24"/>
                <w:lang w:val="en-US" w:eastAsia="zh-CN"/>
              </w:rPr>
              <w:t>类别</w:t>
            </w:r>
          </w:p>
        </w:tc>
        <w:tc>
          <w:tcPr>
            <w:tcW w:w="76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kern w:val="0"/>
                <w:sz w:val="24"/>
                <w:lang w:val="en-US" w:eastAsia="zh-CN"/>
              </w:rPr>
              <w:t>项目</w:t>
            </w:r>
          </w:p>
        </w:tc>
        <w:tc>
          <w:tcPr>
            <w:tcW w:w="890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kern w:val="0"/>
                <w:sz w:val="24"/>
                <w:lang w:val="en-US" w:eastAsia="zh-CN"/>
              </w:rPr>
              <w:t>评价内容</w:t>
            </w:r>
          </w:p>
        </w:tc>
        <w:tc>
          <w:tcPr>
            <w:tcW w:w="218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kern w:val="0"/>
                <w:sz w:val="24"/>
              </w:rPr>
              <w:t>评分标准</w:t>
            </w:r>
          </w:p>
        </w:tc>
        <w:tc>
          <w:tcPr>
            <w:tcW w:w="36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kern w:val="0"/>
                <w:sz w:val="24"/>
                <w:lang w:val="en-US" w:eastAsia="zh-CN"/>
              </w:rPr>
              <w:t>分值</w:t>
            </w:r>
          </w:p>
        </w:tc>
        <w:tc>
          <w:tcPr>
            <w:tcW w:w="37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color w:val="000000"/>
                <w:kern w:val="0"/>
                <w:sz w:val="24"/>
                <w:lang w:val="en-US" w:eastAsia="zh-CN"/>
              </w:rPr>
              <w:t>评分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287" w:hRule="atLeast"/>
        </w:trPr>
        <w:tc>
          <w:tcPr>
            <w:tcW w:w="411" w:type="pct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  <w:t>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本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件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  <w:t>10分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69" w:type="pct"/>
            <w:tcBorders>
              <w:top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场所设施</w:t>
            </w:r>
          </w:p>
        </w:tc>
        <w:tc>
          <w:tcPr>
            <w:tcW w:w="890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开展业务固定的服务场所、功能分区、办公条件和配套设施等情况</w:t>
            </w:r>
          </w:p>
        </w:tc>
        <w:tc>
          <w:tcPr>
            <w:tcW w:w="218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拥有固定的办公和服务场所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60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㎡以内（含）的计1分，超过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60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㎡的，超过部分的按每㎡计0.01分，最高总分不超过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spacing w:val="-4"/>
                <w:kern w:val="0"/>
                <w:sz w:val="24"/>
                <w:szCs w:val="24"/>
              </w:rPr>
              <w:t>拥有固定资产类的办公服务设施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spacing w:val="-4"/>
                <w:kern w:val="0"/>
                <w:sz w:val="24"/>
                <w:szCs w:val="24"/>
                <w:lang w:eastAsia="zh-CN"/>
              </w:rPr>
              <w:t>和信息化、系统化管理软件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spacing w:val="-4"/>
                <w:kern w:val="0"/>
                <w:sz w:val="24"/>
                <w:szCs w:val="24"/>
              </w:rPr>
              <w:t>，价值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spacing w:val="-4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spacing w:val="-4"/>
                <w:kern w:val="0"/>
                <w:sz w:val="24"/>
                <w:szCs w:val="24"/>
              </w:rPr>
              <w:t>万元以内（含）的计0.5分，超过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spacing w:val="-4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spacing w:val="-4"/>
                <w:kern w:val="0"/>
                <w:sz w:val="24"/>
                <w:szCs w:val="24"/>
              </w:rPr>
              <w:t>万元的，每超10万元计0.1分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spacing w:val="-4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spacing w:val="-4"/>
                <w:kern w:val="0"/>
                <w:sz w:val="24"/>
                <w:szCs w:val="24"/>
              </w:rPr>
              <w:t>最高总分不超过3分。</w:t>
            </w:r>
          </w:p>
        </w:tc>
        <w:tc>
          <w:tcPr>
            <w:tcW w:w="36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374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1556" w:hRule="atLeast"/>
        </w:trPr>
        <w:tc>
          <w:tcPr>
            <w:tcW w:w="41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人员规模</w:t>
            </w:r>
          </w:p>
        </w:tc>
        <w:tc>
          <w:tcPr>
            <w:tcW w:w="890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</w:rPr>
              <w:t>查看工作人员名册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参保证明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</w:rPr>
              <w:t>和现场抽查</w:t>
            </w:r>
          </w:p>
        </w:tc>
        <w:tc>
          <w:tcPr>
            <w:tcW w:w="218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专职从业人员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人以内（含）的计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分，超过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人的，每超过1人加0.05分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此项总分不超过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36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374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379" w:hRule="atLeast"/>
        </w:trPr>
        <w:tc>
          <w:tcPr>
            <w:tcW w:w="411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pStyle w:val="8"/>
              <w:rPr>
                <w:rFonts w:hint="eastAsia"/>
                <w:color w:val="000000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服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范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  <w:t>15分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6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信息公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示</w:t>
            </w:r>
          </w:p>
        </w:tc>
        <w:tc>
          <w:tcPr>
            <w:tcW w:w="890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证照、主营业务服务规程、收费标准等信息公示情况</w:t>
            </w:r>
          </w:p>
        </w:tc>
        <w:tc>
          <w:tcPr>
            <w:tcW w:w="218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在服务场所或必经通道等显著位置完整公示：人力资源服务许可证、营业执照、监管部门监督投诉电话和收费标准的，得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分，不公示或公示不完整的不得分；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公示服务内容、服务对象及所需资格条件、服务标准、服务流程等完整合理的每项得0.5分，不达要求的酌情扣分。此项累计得分不超过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36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374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861" w:hRule="atLeast"/>
        </w:trPr>
        <w:tc>
          <w:tcPr>
            <w:tcW w:w="41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服务规程</w:t>
            </w:r>
          </w:p>
        </w:tc>
        <w:tc>
          <w:tcPr>
            <w:tcW w:w="890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提供的服务项目是否制定了服务规程（包括必要的服务环节及要求）；服务规程的执行情况</w:t>
            </w:r>
          </w:p>
        </w:tc>
        <w:tc>
          <w:tcPr>
            <w:tcW w:w="218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对服务项目分别制定了服务规程和标准，且规程完整、科学，标准合理的，每个项目计0.5分，达不到要求的，酌情减分。此项累计得分不超过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36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374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029" w:hRule="atLeast"/>
        </w:trPr>
        <w:tc>
          <w:tcPr>
            <w:tcW w:w="41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服务记录</w:t>
            </w:r>
          </w:p>
        </w:tc>
        <w:tc>
          <w:tcPr>
            <w:tcW w:w="890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对提供的所有服务是否建立了服务台账、服务台账是否如实反映了服务质量和收费标准，能否提供查询服务</w:t>
            </w:r>
          </w:p>
        </w:tc>
        <w:tc>
          <w:tcPr>
            <w:tcW w:w="218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按照人力资源中介、培训、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高级人才寻访、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派遣、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外包、人事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代理等项目建立服务台账，且台账如实反映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近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年来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服务对象、服务内容和收费情况的，每个项目得1分，达不到要求的酌情扣分。此项累计得分不超过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36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374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10" w:hRule="atLeast"/>
        </w:trPr>
        <w:tc>
          <w:tcPr>
            <w:tcW w:w="41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6.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监管情况</w:t>
            </w:r>
          </w:p>
        </w:tc>
        <w:tc>
          <w:tcPr>
            <w:tcW w:w="890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自觉接受行政主管部门的监督检查，遵守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  <w:t>相关部门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管理规定情况</w:t>
            </w:r>
          </w:p>
        </w:tc>
        <w:tc>
          <w:tcPr>
            <w:tcW w:w="218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近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以来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，主动接受各级行政主管部门监督检查，按行政主管部门要求，及时、完整、准确地提供相关资料的得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分，达不到要求的酌情扣分，未参加的不得分；不接受、不配合检查，提供虚假材料的，一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项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否决；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近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年以来，积极参加行业自律活动得1分，不参加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的不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得分。</w:t>
            </w:r>
          </w:p>
        </w:tc>
        <w:tc>
          <w:tcPr>
            <w:tcW w:w="36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374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069" w:hRule="atLeast"/>
        </w:trPr>
        <w:tc>
          <w:tcPr>
            <w:tcW w:w="411" w:type="pct"/>
            <w:vMerge w:val="restar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设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  <w:t>15分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6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7.管理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机构</w:t>
            </w:r>
          </w:p>
        </w:tc>
        <w:tc>
          <w:tcPr>
            <w:tcW w:w="890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管理人员流动率、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  <w:t>党和工会组织建立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等情况</w:t>
            </w:r>
          </w:p>
        </w:tc>
        <w:tc>
          <w:tcPr>
            <w:tcW w:w="218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机构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  <w:t>重要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领导成员在本机构平均任职2年以上的得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  <w:t>0.5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分，3年以上的得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机构内建立有党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  <w:t>和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工会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  <w:t>组织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的计1分，少一个组织的减计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  <w:t>0.5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分，都未建立的不计分。</w:t>
            </w:r>
          </w:p>
        </w:tc>
        <w:tc>
          <w:tcPr>
            <w:tcW w:w="36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374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5190" w:hRule="atLeast"/>
        </w:trPr>
        <w:tc>
          <w:tcPr>
            <w:tcW w:w="41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员工素质</w:t>
            </w:r>
          </w:p>
        </w:tc>
        <w:tc>
          <w:tcPr>
            <w:tcW w:w="890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员工素质、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  <w:t>业务能力、流动率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等情况</w:t>
            </w:r>
          </w:p>
        </w:tc>
        <w:tc>
          <w:tcPr>
            <w:tcW w:w="218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在册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员工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中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大专及以上学历者占比，达到10%的计0.1分，达到20%的计0.2分，以此类推；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在册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员工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中，持有人力资源服务业相关证书（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从业人员培训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、人力资源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管理、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劳动关系协调等）的人员占比，达到10%的计0.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分，达到20%的计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分，以此类推；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在册员工中在本机构连续工作两年及以上者占比达10%的，计0.1分，20%的计0.2分，以此类推；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员工业务培训内容丰富，针对性强，效果好的计2分，达不到上述要求的酌情减分。</w:t>
            </w:r>
          </w:p>
        </w:tc>
        <w:tc>
          <w:tcPr>
            <w:tcW w:w="36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374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6" w:hRule="atLeast"/>
        </w:trPr>
        <w:tc>
          <w:tcPr>
            <w:tcW w:w="41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制度建设</w:t>
            </w:r>
          </w:p>
        </w:tc>
        <w:tc>
          <w:tcPr>
            <w:tcW w:w="890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建立健全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  <w:t>机构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管理制度情况</w:t>
            </w:r>
          </w:p>
        </w:tc>
        <w:tc>
          <w:tcPr>
            <w:tcW w:w="218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建立组织章程和内部管理制度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相应的财务核算制度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，内容完备，合理合法，切实可行的计1分，一般的计0.6分，基本符合要求的计0.4分；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建立了诚信服务相关的服务公示、服务承诺、服务投诉、服务反馈等制度，内容完备，合理合法，切实可行的计1分，一般的计0.6分，基本符合要求的计0.4分；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直接涉及员工收入分配、社会保险、职务升降及劳动关系管理等切身利益的制度和措施，通过员工满意度测评，满意度达100%的，计2分，满意度每降低1个百分点，计减0.02分，以此类推；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为员工配发工作服和佩戴工作标识的计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分，没有的不得分。</w:t>
            </w:r>
          </w:p>
        </w:tc>
        <w:tc>
          <w:tcPr>
            <w:tcW w:w="36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374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0" w:hRule="atLeast"/>
        </w:trPr>
        <w:tc>
          <w:tcPr>
            <w:tcW w:w="411" w:type="pct"/>
            <w:vMerge w:val="restar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  <w:p>
            <w:pPr>
              <w:pStyle w:val="4"/>
              <w:ind w:left="0" w:leftChars="0" w:firstLine="0" w:firstLineChars="0"/>
              <w:rPr>
                <w:rFonts w:hint="eastAsia"/>
                <w:color w:val="00000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pStyle w:val="8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pStyle w:val="4"/>
              <w:rPr>
                <w:rFonts w:hint="eastAsia"/>
                <w:color w:val="000000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状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况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  <w:t>30分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6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信用管理</w:t>
            </w:r>
          </w:p>
        </w:tc>
        <w:tc>
          <w:tcPr>
            <w:tcW w:w="890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信用管理制度，信用档案，风险管理，信贷记录情况</w:t>
            </w:r>
          </w:p>
        </w:tc>
        <w:tc>
          <w:tcPr>
            <w:tcW w:w="218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近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2年以来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，对员工进行了诚信教育培训且内容丰富，全员参加，针对性强，效果好的计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分，达不到上述要求的酌情减分，未开展的不得分；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在册员工签署服务承诺书达95%，计0.5分，达100%的计1分，不到95%的不得分；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有完备的风险防范机制，无不良信贷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诚信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记录的计2分。</w:t>
            </w:r>
          </w:p>
        </w:tc>
        <w:tc>
          <w:tcPr>
            <w:tcW w:w="36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374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9" w:hRule="atLeast"/>
        </w:trPr>
        <w:tc>
          <w:tcPr>
            <w:tcW w:w="41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11.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诚信表现</w:t>
            </w:r>
          </w:p>
        </w:tc>
        <w:tc>
          <w:tcPr>
            <w:tcW w:w="890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机构遵守国家有关法律法规，无违反法律、虚假宣传等行为</w:t>
            </w:r>
          </w:p>
        </w:tc>
        <w:tc>
          <w:tcPr>
            <w:tcW w:w="218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机构没有出租、出借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营业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执照或服务许可证的，计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分，有上述行为的不得分；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机构没有接受外单位挂靠经营的计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分，有上述行为的不得分；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近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年来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有政府购买服务的计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分，没有的不得分；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近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年来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在经营中无违约行为的计2分，有违约行为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已妥善处理未造成影响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的不得分。</w:t>
            </w:r>
          </w:p>
        </w:tc>
        <w:tc>
          <w:tcPr>
            <w:tcW w:w="36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374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3" w:hRule="atLeast"/>
        </w:trPr>
        <w:tc>
          <w:tcPr>
            <w:tcW w:w="41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12.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用工情况</w:t>
            </w:r>
          </w:p>
        </w:tc>
        <w:tc>
          <w:tcPr>
            <w:tcW w:w="890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签订劳动合同、缴纳社会保险、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支付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工资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情况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等劳动者合法权益保障</w:t>
            </w:r>
          </w:p>
        </w:tc>
        <w:tc>
          <w:tcPr>
            <w:tcW w:w="218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目前在册员工劳动合同签订率不达100%的不得分，达100%的计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五项社会保险参保率不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达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100%的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不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计，达到100%的计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没有拖欠、违法克扣员工工资等损害员工合法权利行为的计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分，有上述行为的不得分。</w:t>
            </w:r>
          </w:p>
        </w:tc>
        <w:tc>
          <w:tcPr>
            <w:tcW w:w="36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374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</w:trPr>
        <w:tc>
          <w:tcPr>
            <w:tcW w:w="41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13.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纠纷处理</w:t>
            </w:r>
          </w:p>
        </w:tc>
        <w:tc>
          <w:tcPr>
            <w:tcW w:w="890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服务的客户和求职者投诉情况</w:t>
            </w:r>
          </w:p>
        </w:tc>
        <w:tc>
          <w:tcPr>
            <w:tcW w:w="218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设立有纠纷处理机构或专职工作人员的计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1.5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分，没有的不得分；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有健全的机构与客户投诉或纠纷沟通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渠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道的计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1.5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分，没有的不得分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36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3分</w:t>
            </w:r>
          </w:p>
        </w:tc>
        <w:tc>
          <w:tcPr>
            <w:tcW w:w="374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5" w:hRule="atLeast"/>
        </w:trPr>
        <w:tc>
          <w:tcPr>
            <w:tcW w:w="41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14.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客户权益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0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客户有较高的满意度，无侵害客户合法权益的不良记录</w:t>
            </w:r>
          </w:p>
        </w:tc>
        <w:tc>
          <w:tcPr>
            <w:tcW w:w="218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没有乱收费、违规扣押服务对象财物或证件等损害客户权益行为的计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没有泄漏客户信息行为的计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36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374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5" w:hRule="atLeast"/>
        </w:trPr>
        <w:tc>
          <w:tcPr>
            <w:tcW w:w="411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  <w:t>服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  <w:t>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  <w:t>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  <w:t>绩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  <w:t>（20分）</w:t>
            </w:r>
          </w:p>
        </w:tc>
        <w:tc>
          <w:tcPr>
            <w:tcW w:w="76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15.服务数量</w:t>
            </w:r>
          </w:p>
        </w:tc>
        <w:tc>
          <w:tcPr>
            <w:tcW w:w="890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对年度提供服务数量规模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eastAsia="zh-CN"/>
              </w:rPr>
              <w:t>的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评价</w:t>
            </w:r>
          </w:p>
        </w:tc>
        <w:tc>
          <w:tcPr>
            <w:tcW w:w="218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</w:rPr>
              <w:t>上年度服务用人单位达到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</w:rPr>
              <w:t>0个的计1分，超过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50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</w:rPr>
              <w:t>个的计2分；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上年度服务各类人才和劳动者达到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500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人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（含）以上不足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1000人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的计1分，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000人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（含）以上不足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2000人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的计2分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2000人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（含）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以上的计3分；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3.上年度服务高校毕业生成功就业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10人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（含）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不足50人的计0.5分，50人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（含）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以上不足100人的计1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分，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100人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（含）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以上不足150人的计1.5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分，200人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（含）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以上的计2分；</w:t>
            </w:r>
          </w:p>
        </w:tc>
        <w:tc>
          <w:tcPr>
            <w:tcW w:w="36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374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8" w:hRule="atLeast"/>
        </w:trPr>
        <w:tc>
          <w:tcPr>
            <w:tcW w:w="41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16.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服务质量</w:t>
            </w:r>
          </w:p>
        </w:tc>
        <w:tc>
          <w:tcPr>
            <w:tcW w:w="890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对年度提供服务质量的评价</w:t>
            </w:r>
          </w:p>
        </w:tc>
        <w:tc>
          <w:tcPr>
            <w:tcW w:w="218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建有服务质量管理制度和管理机构或管理人员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且开展服务质量管理工作较好的计1分，一般的计0.8分，基本可行的计0.6分，未开展的不得分；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随机开展客户对服务质量的满意度调查，满意度达95%以上的计2分，达80%-94%的计1.5分，达70%-79%的计1分，低于70%的不得分。</w:t>
            </w:r>
          </w:p>
        </w:tc>
        <w:tc>
          <w:tcPr>
            <w:tcW w:w="36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3分</w:t>
            </w:r>
          </w:p>
        </w:tc>
        <w:tc>
          <w:tcPr>
            <w:tcW w:w="374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6" w:hRule="atLeast"/>
        </w:trPr>
        <w:tc>
          <w:tcPr>
            <w:tcW w:w="41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76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17</w:t>
            </w:r>
            <w:r>
              <w:rPr>
                <w:rFonts w:hint="default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/>
              </w:rPr>
              <w:t>收益情况</w:t>
            </w:r>
          </w:p>
        </w:tc>
        <w:tc>
          <w:tcPr>
            <w:tcW w:w="890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年度经营状况良好，具有一定的抵御市场风险的能力</w:t>
            </w:r>
          </w:p>
        </w:tc>
        <w:tc>
          <w:tcPr>
            <w:tcW w:w="218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1.上年度人力资源服务营业收入达到100万元（含）以上不足200万元的计1分，200万元（含）以上不足500万元的计2分，500万元（含）以上不足1000万元的计3分，1000万元（含）以上并入库入统的计4分。除劳务派遣和人力资源外包的其他业态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为主营业务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，按对应标准的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0%计分；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2.上年度在吉林省纳税额低于20万元不得分，达到20万元的计1分，达到50万元不足100万元的计2分，超过100万元的计3分。除劳务派遣和人力资源外包的其他业态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为主营业务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，按对应标准的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0%计分；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3.上年度经营利润低于20万元不得分，达到20万元的计1分，达到50万元不足100万元的计2分，超过100万元的计3分。</w:t>
            </w:r>
          </w:p>
        </w:tc>
        <w:tc>
          <w:tcPr>
            <w:tcW w:w="36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374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2" w:hRule="atLeast"/>
        </w:trPr>
        <w:tc>
          <w:tcPr>
            <w:tcW w:w="411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社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责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  <w:t>10分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6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18.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公益活动</w:t>
            </w:r>
          </w:p>
        </w:tc>
        <w:tc>
          <w:tcPr>
            <w:tcW w:w="890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主动提供义务服务情况</w:t>
            </w:r>
          </w:p>
        </w:tc>
        <w:tc>
          <w:tcPr>
            <w:tcW w:w="218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近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年来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积极参加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新冠肺炎疫情防控、振兴乡村、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扶贫救灾等公益活动的计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0.5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捐赠各种财物计价5万元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（含）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以上的计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0.5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近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年来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积极参加公益性的促进就业活动的计1分。</w:t>
            </w:r>
          </w:p>
        </w:tc>
        <w:tc>
          <w:tcPr>
            <w:tcW w:w="36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374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0" w:hRule="atLeast"/>
        </w:trPr>
        <w:tc>
          <w:tcPr>
            <w:tcW w:w="41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19.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行业活动</w:t>
            </w:r>
          </w:p>
        </w:tc>
        <w:tc>
          <w:tcPr>
            <w:tcW w:w="890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  <w:t>积极参加行业活动</w:t>
            </w:r>
          </w:p>
        </w:tc>
        <w:tc>
          <w:tcPr>
            <w:tcW w:w="218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1.注册“96885吉人在线”服务平台，提供招聘服务信息的，计0.5分；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参与行业内活动的计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0.5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组织承办或协办行业内活动的计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是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</w:rPr>
              <w:t>行业内权威组织的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成员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</w:rPr>
              <w:t>单位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的计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0.5分；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5.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</w:rPr>
              <w:t>为行业发展作出贡献的计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0.5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</w:rPr>
              <w:t>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。</w:t>
            </w:r>
          </w:p>
        </w:tc>
        <w:tc>
          <w:tcPr>
            <w:tcW w:w="36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374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0" w:hRule="atLeast"/>
        </w:trPr>
        <w:tc>
          <w:tcPr>
            <w:tcW w:w="41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社会评价</w:t>
            </w:r>
          </w:p>
        </w:tc>
        <w:tc>
          <w:tcPr>
            <w:tcW w:w="890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获得荣誉、新闻宣传报道和品牌知名度情况</w:t>
            </w:r>
          </w:p>
        </w:tc>
        <w:tc>
          <w:tcPr>
            <w:tcW w:w="218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近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年获得各级人力资源和社会保障、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市场监督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、税务等政府部门及行业协会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荣誉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的：县（市）级的计1分，地（市）级的计2分，省级的计3分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国家级的计4分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（以最高分项计，不累加）；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近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年来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highlight w:val="none"/>
                <w:lang w:eastAsia="zh-CN"/>
              </w:rPr>
              <w:t>获得政府新闻宣传主管部门主管的电视、广播、报纸、期刊（杂志）等主流媒体及其所属的网络媒体正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</w:rPr>
              <w:t>面宣传达3次的计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0.5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</w:rPr>
              <w:t>分，5次以上的计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</w:rPr>
              <w:t>分。</w:t>
            </w:r>
          </w:p>
        </w:tc>
        <w:tc>
          <w:tcPr>
            <w:tcW w:w="366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374" w:type="pct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4258" w:type="pct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合             计</w:t>
            </w:r>
          </w:p>
        </w:tc>
        <w:tc>
          <w:tcPr>
            <w:tcW w:w="366" w:type="pct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100分</w:t>
            </w:r>
          </w:p>
        </w:tc>
        <w:tc>
          <w:tcPr>
            <w:tcW w:w="374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>
      <w:pPr>
        <w:rPr>
          <w:rFonts w:hint="eastAsia" w:ascii="方正仿宋_GB2312" w:hAnsi="方正仿宋_GB2312" w:eastAsia="方正仿宋_GB2312" w:cs="方正仿宋_GB2312"/>
          <w:sz w:val="30"/>
          <w:szCs w:val="30"/>
        </w:rPr>
        <w:sectPr>
          <w:footerReference r:id="rId3" w:type="default"/>
          <w:pgSz w:w="11906" w:h="16838"/>
          <w:pgMar w:top="1440" w:right="1519" w:bottom="1440" w:left="1463" w:header="851" w:footer="992" w:gutter="0"/>
          <w:cols w:space="425" w:num="1"/>
          <w:docGrid w:type="lines" w:linePitch="312" w:charSpace="0"/>
        </w:sectPr>
      </w:pP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textAlignment w:val="auto"/>
        <w:rPr>
          <w:rFonts w:hint="default" w:ascii="方正仿宋_GB2312" w:hAnsi="方正仿宋_GB2312" w:eastAsia="方正仿宋_GB2312" w:cs="方正仿宋_GB2312"/>
          <w:sz w:val="30"/>
          <w:szCs w:val="30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大标宋简体">
    <w:altName w:val="方正书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dmZDJmYjRiYWJkMWI1YmNhZWU1ZGVjZjc0ZWE5NzIifQ=="/>
  </w:docVars>
  <w:rsids>
    <w:rsidRoot w:val="7EB06CF7"/>
    <w:rsid w:val="00D562AF"/>
    <w:rsid w:val="00F20260"/>
    <w:rsid w:val="01AB79A4"/>
    <w:rsid w:val="02AF363D"/>
    <w:rsid w:val="02CF5CD3"/>
    <w:rsid w:val="04806B11"/>
    <w:rsid w:val="04E92909"/>
    <w:rsid w:val="05912214"/>
    <w:rsid w:val="05AF4D2C"/>
    <w:rsid w:val="06602CCC"/>
    <w:rsid w:val="068B3D2D"/>
    <w:rsid w:val="06AA11D7"/>
    <w:rsid w:val="072E5E26"/>
    <w:rsid w:val="07707311"/>
    <w:rsid w:val="08EB70C9"/>
    <w:rsid w:val="09646A02"/>
    <w:rsid w:val="099735F7"/>
    <w:rsid w:val="0A76063A"/>
    <w:rsid w:val="0A7B4003"/>
    <w:rsid w:val="0ADE6A86"/>
    <w:rsid w:val="0B674587"/>
    <w:rsid w:val="0BA67FFC"/>
    <w:rsid w:val="0BE04A65"/>
    <w:rsid w:val="0C4A6383"/>
    <w:rsid w:val="0C8706D4"/>
    <w:rsid w:val="0D250FE4"/>
    <w:rsid w:val="0EE24651"/>
    <w:rsid w:val="0EFD592E"/>
    <w:rsid w:val="0FD541B5"/>
    <w:rsid w:val="103A081E"/>
    <w:rsid w:val="11567578"/>
    <w:rsid w:val="119B03D1"/>
    <w:rsid w:val="128F2D41"/>
    <w:rsid w:val="12B409FA"/>
    <w:rsid w:val="131E7D8E"/>
    <w:rsid w:val="144520F0"/>
    <w:rsid w:val="16231FEB"/>
    <w:rsid w:val="166C5148"/>
    <w:rsid w:val="1672275E"/>
    <w:rsid w:val="177469AA"/>
    <w:rsid w:val="177E5132"/>
    <w:rsid w:val="17FD6785"/>
    <w:rsid w:val="19477227"/>
    <w:rsid w:val="1A0832FB"/>
    <w:rsid w:val="1A9058A9"/>
    <w:rsid w:val="1B46247C"/>
    <w:rsid w:val="1B8C63A8"/>
    <w:rsid w:val="1BF956CF"/>
    <w:rsid w:val="1C166281"/>
    <w:rsid w:val="1C60574F"/>
    <w:rsid w:val="1CD86382"/>
    <w:rsid w:val="1DBC769C"/>
    <w:rsid w:val="1DC75A85"/>
    <w:rsid w:val="1DE008F5"/>
    <w:rsid w:val="1E2C3B3A"/>
    <w:rsid w:val="1E2C58E8"/>
    <w:rsid w:val="1E49303C"/>
    <w:rsid w:val="1F0E0F5D"/>
    <w:rsid w:val="1F3B6580"/>
    <w:rsid w:val="1F5A0233"/>
    <w:rsid w:val="1F90263B"/>
    <w:rsid w:val="2062188C"/>
    <w:rsid w:val="207812B9"/>
    <w:rsid w:val="2084116C"/>
    <w:rsid w:val="22386FDF"/>
    <w:rsid w:val="230E18A9"/>
    <w:rsid w:val="2405415B"/>
    <w:rsid w:val="242D23BA"/>
    <w:rsid w:val="24D97E4C"/>
    <w:rsid w:val="24E95E3F"/>
    <w:rsid w:val="25A60D6D"/>
    <w:rsid w:val="25AD136E"/>
    <w:rsid w:val="25C1725E"/>
    <w:rsid w:val="26EB3223"/>
    <w:rsid w:val="27CB43C4"/>
    <w:rsid w:val="27D762BB"/>
    <w:rsid w:val="2825679B"/>
    <w:rsid w:val="2890116A"/>
    <w:rsid w:val="294361DC"/>
    <w:rsid w:val="2ADC2444"/>
    <w:rsid w:val="2B2C33CC"/>
    <w:rsid w:val="2B45623B"/>
    <w:rsid w:val="2CCB451E"/>
    <w:rsid w:val="2D3D0F96"/>
    <w:rsid w:val="2D4D46AC"/>
    <w:rsid w:val="2DB843CA"/>
    <w:rsid w:val="2E382087"/>
    <w:rsid w:val="2F94153F"/>
    <w:rsid w:val="2FFD0FE5"/>
    <w:rsid w:val="3017590C"/>
    <w:rsid w:val="303B19BB"/>
    <w:rsid w:val="31A57A34"/>
    <w:rsid w:val="31E80E0B"/>
    <w:rsid w:val="32313075"/>
    <w:rsid w:val="332A122F"/>
    <w:rsid w:val="33370B5F"/>
    <w:rsid w:val="338673F1"/>
    <w:rsid w:val="33C523FD"/>
    <w:rsid w:val="33FB56EA"/>
    <w:rsid w:val="34774A35"/>
    <w:rsid w:val="34AD319F"/>
    <w:rsid w:val="34E02B31"/>
    <w:rsid w:val="35303AB8"/>
    <w:rsid w:val="359027A9"/>
    <w:rsid w:val="359A3628"/>
    <w:rsid w:val="36B129D7"/>
    <w:rsid w:val="37D01583"/>
    <w:rsid w:val="39365415"/>
    <w:rsid w:val="39697599"/>
    <w:rsid w:val="39E44E71"/>
    <w:rsid w:val="3B4C7172"/>
    <w:rsid w:val="3BE81FCD"/>
    <w:rsid w:val="3C187054"/>
    <w:rsid w:val="3CFD4BC8"/>
    <w:rsid w:val="3D3954D4"/>
    <w:rsid w:val="3DAC3EF8"/>
    <w:rsid w:val="3E1877DF"/>
    <w:rsid w:val="3F073ADC"/>
    <w:rsid w:val="3F5069E5"/>
    <w:rsid w:val="3F634C60"/>
    <w:rsid w:val="3FDF482F"/>
    <w:rsid w:val="405439DB"/>
    <w:rsid w:val="405F5252"/>
    <w:rsid w:val="412344D1"/>
    <w:rsid w:val="412C782A"/>
    <w:rsid w:val="417509F7"/>
    <w:rsid w:val="429E4757"/>
    <w:rsid w:val="44E67CEF"/>
    <w:rsid w:val="44E77541"/>
    <w:rsid w:val="44F2120D"/>
    <w:rsid w:val="450846D8"/>
    <w:rsid w:val="461140A0"/>
    <w:rsid w:val="461A0599"/>
    <w:rsid w:val="467A3697"/>
    <w:rsid w:val="46980A96"/>
    <w:rsid w:val="46D11EDF"/>
    <w:rsid w:val="48665A47"/>
    <w:rsid w:val="48EE3617"/>
    <w:rsid w:val="495E31D2"/>
    <w:rsid w:val="49667651"/>
    <w:rsid w:val="49DF681B"/>
    <w:rsid w:val="4A11580F"/>
    <w:rsid w:val="4AB663B6"/>
    <w:rsid w:val="4B26353C"/>
    <w:rsid w:val="4CB93F3C"/>
    <w:rsid w:val="4CF338F1"/>
    <w:rsid w:val="4D381304"/>
    <w:rsid w:val="4D7F0CE1"/>
    <w:rsid w:val="4D8310ED"/>
    <w:rsid w:val="4E3E7A36"/>
    <w:rsid w:val="4E9A36C8"/>
    <w:rsid w:val="4F3A75B6"/>
    <w:rsid w:val="4F42646A"/>
    <w:rsid w:val="4F894099"/>
    <w:rsid w:val="50297D46"/>
    <w:rsid w:val="50395ABF"/>
    <w:rsid w:val="517A638F"/>
    <w:rsid w:val="531254ED"/>
    <w:rsid w:val="53424C8B"/>
    <w:rsid w:val="53FD32A8"/>
    <w:rsid w:val="54662BFB"/>
    <w:rsid w:val="54BB6EF3"/>
    <w:rsid w:val="55236D3E"/>
    <w:rsid w:val="569E667C"/>
    <w:rsid w:val="56ED315F"/>
    <w:rsid w:val="58EB7B73"/>
    <w:rsid w:val="59732FD9"/>
    <w:rsid w:val="59EC76FE"/>
    <w:rsid w:val="59F113D2"/>
    <w:rsid w:val="5A272E2C"/>
    <w:rsid w:val="5A8550FA"/>
    <w:rsid w:val="5BCC5A39"/>
    <w:rsid w:val="5C1B3854"/>
    <w:rsid w:val="5C693288"/>
    <w:rsid w:val="5CED60E1"/>
    <w:rsid w:val="5EEB4428"/>
    <w:rsid w:val="5FD37B25"/>
    <w:rsid w:val="5FF87DC6"/>
    <w:rsid w:val="606B1E9F"/>
    <w:rsid w:val="61E33ADD"/>
    <w:rsid w:val="628D3A49"/>
    <w:rsid w:val="62D45EE4"/>
    <w:rsid w:val="65905D2A"/>
    <w:rsid w:val="65EB050A"/>
    <w:rsid w:val="661A0307"/>
    <w:rsid w:val="66833E64"/>
    <w:rsid w:val="669C425A"/>
    <w:rsid w:val="67475E7C"/>
    <w:rsid w:val="67AA1CFB"/>
    <w:rsid w:val="67C1666E"/>
    <w:rsid w:val="69300060"/>
    <w:rsid w:val="69344C1E"/>
    <w:rsid w:val="69793E75"/>
    <w:rsid w:val="6AE0505D"/>
    <w:rsid w:val="6B1B3A43"/>
    <w:rsid w:val="6BD12D68"/>
    <w:rsid w:val="6C384A25"/>
    <w:rsid w:val="6CB06CB1"/>
    <w:rsid w:val="6D747CDF"/>
    <w:rsid w:val="6D8D2B4F"/>
    <w:rsid w:val="6F1B2B08"/>
    <w:rsid w:val="6F2D6397"/>
    <w:rsid w:val="6FA0300D"/>
    <w:rsid w:val="7056191E"/>
    <w:rsid w:val="713D663A"/>
    <w:rsid w:val="72DA6836"/>
    <w:rsid w:val="73A806E2"/>
    <w:rsid w:val="73FE18C9"/>
    <w:rsid w:val="75B1650C"/>
    <w:rsid w:val="75CD4430"/>
    <w:rsid w:val="76114FAD"/>
    <w:rsid w:val="76E060E7"/>
    <w:rsid w:val="771B1F61"/>
    <w:rsid w:val="780B1240"/>
    <w:rsid w:val="78D635FC"/>
    <w:rsid w:val="78FD327E"/>
    <w:rsid w:val="79584959"/>
    <w:rsid w:val="79AE0BF5"/>
    <w:rsid w:val="7A2D36EF"/>
    <w:rsid w:val="7CDF8B1D"/>
    <w:rsid w:val="7D0B712F"/>
    <w:rsid w:val="7D1B4A6C"/>
    <w:rsid w:val="7D690EE2"/>
    <w:rsid w:val="7E1A2762"/>
    <w:rsid w:val="7E1B25DE"/>
    <w:rsid w:val="7EB06CF7"/>
    <w:rsid w:val="7ED1281D"/>
    <w:rsid w:val="7F2D5F40"/>
    <w:rsid w:val="7F361298"/>
    <w:rsid w:val="7F65FF85"/>
    <w:rsid w:val="7FF39E78"/>
    <w:rsid w:val="7FFF5B2E"/>
    <w:rsid w:val="7FFFB572"/>
    <w:rsid w:val="8FDB20BE"/>
    <w:rsid w:val="B7DEEB14"/>
    <w:rsid w:val="BBFE6D12"/>
    <w:rsid w:val="D5DFC550"/>
    <w:rsid w:val="DBB94BB1"/>
    <w:rsid w:val="E9FFF43E"/>
    <w:rsid w:val="F7B727CE"/>
    <w:rsid w:val="FE764907"/>
    <w:rsid w:val="FE7F5552"/>
    <w:rsid w:val="FEEB5148"/>
    <w:rsid w:val="FEFFA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after="120"/>
    </w:p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index 6"/>
    <w:basedOn w:val="1"/>
    <w:next w:val="1"/>
    <w:qFormat/>
    <w:uiPriority w:val="0"/>
    <w:pPr>
      <w:ind w:firstLine="840"/>
    </w:pPr>
    <w:rPr>
      <w:rFonts w:ascii="Times New Roman" w:hAnsi="Times New Roman" w:cs="Arial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2"/>
    <w:next w:val="4"/>
    <w:qFormat/>
    <w:uiPriority w:val="0"/>
    <w:pPr>
      <w:ind w:firstLine="200" w:firstLineChars="200"/>
    </w:p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font11"/>
    <w:basedOn w:val="10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14">
    <w:name w:val="font21"/>
    <w:basedOn w:val="10"/>
    <w:qFormat/>
    <w:uiPriority w:val="0"/>
    <w:rPr>
      <w:rFonts w:hint="eastAsia" w:ascii="宋体" w:hAnsi="宋体" w:eastAsia="宋体" w:cs="宋体"/>
      <w:b/>
      <w:bCs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6411</Words>
  <Characters>6800</Characters>
  <Lines>0</Lines>
  <Paragraphs>0</Paragraphs>
  <TotalTime>23</TotalTime>
  <ScaleCrop>false</ScaleCrop>
  <LinksUpToDate>false</LinksUpToDate>
  <CharactersWithSpaces>7161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2022-06-03T15:51:00Z</dcterms:created>
  <dc:creator>郭芯岐13756861857</dc:creator>
  <cp:lastModifiedBy>admin</cp:lastModifiedBy>
  <cp:lastPrinted>2022-07-18T02:06:00Z</cp:lastPrinted>
  <dcterms:modified xsi:type="dcterms:W3CDTF">2023-08-10T08:54:39Z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ICV">
    <vt:lpwstr>6AA215B708D7403D9DF7F613D200F9E1_13</vt:lpwstr>
  </property>
</Properties>
</file>