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1952" w:firstLineChars="600"/>
        <w:rPr>
          <w:rFonts w:hint="eastAsia" w:ascii="宋体" w:hAnsi="宋体"/>
          <w:b/>
          <w:bCs/>
          <w:w w:val="90"/>
          <w:kern w:val="44"/>
          <w:sz w:val="36"/>
          <w:szCs w:val="36"/>
        </w:rPr>
      </w:pPr>
      <w:bookmarkStart w:id="0" w:name="_Toc146011788"/>
      <w:bookmarkStart w:id="1" w:name="_Toc155772938"/>
      <w:bookmarkStart w:id="2" w:name="_Toc158798746"/>
      <w:bookmarkStart w:id="3" w:name="_Toc155772038"/>
      <w:bookmarkStart w:id="4" w:name="_Toc162773809"/>
      <w:bookmarkStart w:id="5" w:name="_Toc164657734"/>
      <w:bookmarkStart w:id="6" w:name="_Toc153356465"/>
      <w:bookmarkStart w:id="7" w:name="_Toc153353724"/>
      <w:r>
        <w:rPr>
          <w:rFonts w:hint="eastAsia" w:ascii="宋体" w:hAnsi="宋体"/>
          <w:b/>
          <w:bCs/>
          <w:w w:val="90"/>
          <w:kern w:val="44"/>
          <w:sz w:val="36"/>
          <w:szCs w:val="36"/>
        </w:rPr>
        <w:t>视频会议室拼接屏技术参数</w:t>
      </w:r>
    </w:p>
    <w:p>
      <w:pPr>
        <w:pStyle w:val="2"/>
        <w:rPr>
          <w:rFonts w:hint="eastAsia" w:ascii="宋体" w:hAnsi="宋体"/>
          <w:b/>
          <w:bCs/>
          <w:sz w:val="22"/>
          <w:szCs w:val="21"/>
        </w:rPr>
      </w:pPr>
    </w:p>
    <w:p>
      <w:pPr>
        <w:pStyle w:val="2"/>
        <w:rPr>
          <w:rFonts w:hint="eastAsia" w:ascii="宋体" w:hAnsi="宋体"/>
          <w:b/>
          <w:bCs/>
          <w:sz w:val="22"/>
          <w:szCs w:val="21"/>
        </w:rPr>
      </w:pPr>
    </w:p>
    <w:p>
      <w:pPr>
        <w:pStyle w:val="2"/>
        <w:rPr>
          <w:rFonts w:hint="eastAsia" w:ascii="宋体" w:hAnsi="宋体"/>
          <w:b/>
          <w:bCs/>
          <w:sz w:val="22"/>
          <w:szCs w:val="21"/>
        </w:rPr>
      </w:pPr>
      <w:r>
        <w:rPr>
          <w:rFonts w:hint="eastAsia" w:ascii="宋体" w:hAnsi="宋体"/>
          <w:b/>
          <w:bCs/>
          <w:sz w:val="22"/>
          <w:szCs w:val="21"/>
        </w:rPr>
        <w:t>配置需求清单</w:t>
      </w:r>
    </w:p>
    <w:p>
      <w:pPr>
        <w:pStyle w:val="2"/>
        <w:rPr>
          <w:rFonts w:hint="eastAsia" w:ascii="宋体" w:hAnsi="宋体"/>
          <w:b/>
          <w:bCs/>
          <w:sz w:val="22"/>
          <w:szCs w:val="21"/>
        </w:rPr>
      </w:pPr>
      <w:r>
        <w:rPr>
          <w:rFonts w:hint="eastAsia"/>
        </w:rPr>
        <w:t>技术要求指标按重要性分为“</w:t>
      </w:r>
      <w:r>
        <w:rPr>
          <w:rFonts w:hint="eastAsia" w:ascii="宋体" w:hAnsi="宋体" w:cs="宋体"/>
          <w:kern w:val="0"/>
          <w:sz w:val="20"/>
        </w:rPr>
        <w:t>※</w:t>
      </w:r>
      <w:r>
        <w:rPr>
          <w:rFonts w:hint="eastAsia"/>
        </w:rPr>
        <w:t>”、“★”和一般无标示指标。</w:t>
      </w:r>
      <w:r>
        <w:rPr>
          <w:rFonts w:hint="eastAsia" w:ascii="宋体" w:hAnsi="宋体" w:cs="宋体"/>
          <w:kern w:val="0"/>
          <w:sz w:val="20"/>
        </w:rPr>
        <w:t>※</w:t>
      </w:r>
      <w:r>
        <w:rPr>
          <w:rFonts w:hint="eastAsia"/>
        </w:rPr>
        <w:t>代表实质性指标，不满足该指标项将导致投标被拒绝，★代表重要指标，无标识则表示一般指标项。</w:t>
      </w:r>
    </w:p>
    <w:p>
      <w:pPr>
        <w:pStyle w:val="2"/>
        <w:rPr>
          <w:rFonts w:ascii="宋体" w:hAnsi="宋体"/>
          <w:b/>
          <w:bCs/>
          <w:sz w:val="22"/>
          <w:szCs w:val="21"/>
        </w:rPr>
      </w:pPr>
    </w:p>
    <w:tbl>
      <w:tblPr>
        <w:tblStyle w:val="7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639"/>
        <w:gridCol w:w="6294"/>
        <w:gridCol w:w="707"/>
        <w:gridCol w:w="456"/>
      </w:tblGrid>
      <w:tr>
        <w:trPr>
          <w:trHeight w:val="526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商务资质要求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1</w:t>
            </w:r>
          </w:p>
        </w:tc>
        <w:tc>
          <w:tcPr>
            <w:tcW w:w="475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为保证役标产品的技术先进性，投标人所投产品的生产企业通过国家级企业技术中心认定。提供复印件并加盖制造厂商公章，原件备查。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2</w:t>
            </w:r>
          </w:p>
        </w:tc>
        <w:tc>
          <w:tcPr>
            <w:tcW w:w="475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为保证投标产品的设计先进性，投标人所投产品的生产企业通过国家级工业设计中心认定。提供复印件并加盖制造厂商公章，原件备查。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3</w:t>
            </w:r>
          </w:p>
        </w:tc>
        <w:tc>
          <w:tcPr>
            <w:tcW w:w="475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为保证投标产品的设计先进性，投标人所投产品的生产企业具有国家级工程研究中心（工程实验室）。提供复印件并加盖制造厂商公章，原件备查。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4</w:t>
            </w:r>
          </w:p>
        </w:tc>
        <w:tc>
          <w:tcPr>
            <w:tcW w:w="475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为保证投标产品的设计先进性，投标人所投产品的生产企业具有省级工程技术研究中心。提供复印件并加盖制造厂商公章，原件备查。</w:t>
            </w:r>
          </w:p>
        </w:tc>
      </w:tr>
      <w:tr>
        <w:trPr>
          <w:trHeight w:val="413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5</w:t>
            </w:r>
          </w:p>
        </w:tc>
        <w:tc>
          <w:tcPr>
            <w:tcW w:w="475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为保证投标产品的设计先进性，投标人所投产品的生产企业获得A</w:t>
            </w:r>
            <w:r>
              <w:rPr>
                <w:rFonts w:ascii="宋体" w:hAnsi="宋体" w:cs="宋体"/>
                <w:color w:val="auto"/>
                <w:kern w:val="0"/>
                <w:szCs w:val="21"/>
              </w:rPr>
              <w:t>AA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级重合同守信用证书。提供复印件并加盖制造厂商公章，原件备查。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6</w:t>
            </w:r>
          </w:p>
        </w:tc>
        <w:tc>
          <w:tcPr>
            <w:tcW w:w="475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为保证投标产品的设计先进性，投标人所投产品的生产企业获得A</w:t>
            </w:r>
            <w:r>
              <w:rPr>
                <w:rFonts w:ascii="宋体" w:hAnsi="宋体" w:cs="宋体"/>
                <w:color w:val="auto"/>
                <w:kern w:val="0"/>
                <w:szCs w:val="21"/>
              </w:rPr>
              <w:t>AA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级质量服务诚信单位证书。提供复印件并加盖制造厂商公章，原件备查。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7</w:t>
            </w:r>
          </w:p>
        </w:tc>
        <w:tc>
          <w:tcPr>
            <w:tcW w:w="475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为保证投标产品的设计先进性，投标人所投产品的生产企业获得A</w:t>
            </w:r>
            <w:r>
              <w:rPr>
                <w:rFonts w:ascii="宋体" w:hAnsi="宋体" w:cs="宋体"/>
                <w:color w:val="auto"/>
                <w:kern w:val="0"/>
                <w:szCs w:val="21"/>
              </w:rPr>
              <w:t>AA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级重服务守信用证书。提供复印件并加盖制造厂商公章，原件备查。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8</w:t>
            </w:r>
          </w:p>
        </w:tc>
        <w:tc>
          <w:tcPr>
            <w:tcW w:w="475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为保证投标产品的设计先进性，投标人所投产品的生产企业获得年度纳税信用A级。提供复印件并加盖制造厂商公章，原件备查。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9</w:t>
            </w:r>
          </w:p>
        </w:tc>
        <w:tc>
          <w:tcPr>
            <w:tcW w:w="475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为保证投标产品的设计先进性，投标人所投产品的生产企业通过安全生产标准化三级达标企业。提供复印件并加盖制造厂商公章，原件备查。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10</w:t>
            </w:r>
          </w:p>
        </w:tc>
        <w:tc>
          <w:tcPr>
            <w:tcW w:w="475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为保证投标产品的设计先进性，投标人所投产品的生产企业通过国家级部委认定的绿色供应链企业。提供复印件并加盖制造厂商公章，原件备查。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11</w:t>
            </w:r>
          </w:p>
        </w:tc>
        <w:tc>
          <w:tcPr>
            <w:tcW w:w="475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为保证投标产品的设计先进性，投标人所投产品的生产企业获得国家科学技术进步奖一等奖。提供复印件并加盖制造厂商公章，原件备查。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12</w:t>
            </w:r>
          </w:p>
        </w:tc>
        <w:tc>
          <w:tcPr>
            <w:tcW w:w="475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为保证投标产品的设计先进性，投标人所投产品的生产企业通过知识产权示范企业。提供复印件并加盖制造厂商公章，原件备查。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13</w:t>
            </w:r>
          </w:p>
        </w:tc>
        <w:tc>
          <w:tcPr>
            <w:tcW w:w="475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为保证投标产品的设计先进性，投标人所投产品的生产企业获得高新技术企业证书。提供复印件并加盖制造厂商公章，原件备查。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14</w:t>
            </w:r>
          </w:p>
        </w:tc>
        <w:tc>
          <w:tcPr>
            <w:tcW w:w="475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所投产品生产企业获得国家级《五星级服务质量奖》。提供证书复印件加盖原厂公章，原件备查。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1</w:t>
            </w:r>
            <w:r>
              <w:rPr>
                <w:rFonts w:ascii="宋体" w:hAnsi="宋体"/>
                <w:color w:val="auto"/>
                <w:kern w:val="0"/>
                <w:szCs w:val="21"/>
              </w:rPr>
              <w:t>5</w:t>
            </w:r>
          </w:p>
        </w:tc>
        <w:tc>
          <w:tcPr>
            <w:tcW w:w="475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为保证投标产品的设计先进性，投标人所投产品的生产企业通过省级5</w:t>
            </w:r>
            <w:r>
              <w:rPr>
                <w:rFonts w:ascii="宋体" w:hAnsi="宋体" w:cs="宋体"/>
                <w:color w:val="auto"/>
                <w:kern w:val="0"/>
                <w:szCs w:val="21"/>
              </w:rPr>
              <w:t>G+8K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超高清视频显示企业重点实验室证书。提供复印件并加盖制造厂商公章，原件备查。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序号</w:t>
            </w:r>
          </w:p>
        </w:tc>
        <w:tc>
          <w:tcPr>
            <w:tcW w:w="3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货物名称</w:t>
            </w:r>
          </w:p>
        </w:tc>
        <w:tc>
          <w:tcPr>
            <w:tcW w:w="369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规格、技术参数、性能要求</w:t>
            </w:r>
          </w:p>
        </w:tc>
        <w:tc>
          <w:tcPr>
            <w:tcW w:w="41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数量</w:t>
            </w:r>
          </w:p>
        </w:tc>
        <w:tc>
          <w:tcPr>
            <w:tcW w:w="2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大屏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1</w:t>
            </w:r>
          </w:p>
        </w:tc>
        <w:tc>
          <w:tcPr>
            <w:tcW w:w="3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auto"/>
                <w:kern w:val="0"/>
                <w:sz w:val="20"/>
              </w:rPr>
              <w:t>LCD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大屏</w:t>
            </w:r>
          </w:p>
        </w:tc>
        <w:tc>
          <w:tcPr>
            <w:tcW w:w="369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spacing w:line="320" w:lineRule="exact"/>
              <w:ind w:firstLineChars="0"/>
              <w:rPr>
                <w:rFonts w:ascii="宋体" w:hAnsi="宋体" w:cs="微软雅黑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※</w:t>
            </w:r>
            <w:r>
              <w:rPr>
                <w:rFonts w:hint="eastAsia" w:ascii="宋体" w:hAnsi="宋体" w:cs="微软雅黑"/>
                <w:color w:val="auto"/>
                <w:szCs w:val="21"/>
              </w:rPr>
              <w:t>屏幕单元尺寸：</w:t>
            </w:r>
            <w:r>
              <w:rPr>
                <w:rFonts w:ascii="宋体" w:hAnsi="宋体" w:cs="微软雅黑"/>
                <w:color w:val="auto"/>
                <w:szCs w:val="21"/>
              </w:rPr>
              <w:t>49</w:t>
            </w:r>
            <w:r>
              <w:rPr>
                <w:rFonts w:hint="eastAsia" w:ascii="宋体" w:hAnsi="宋体" w:cs="微软雅黑"/>
                <w:color w:val="auto"/>
                <w:szCs w:val="21"/>
              </w:rPr>
              <w:t>寸，类型：DID FHD_LED，响应时间：8ms；</w:t>
            </w:r>
          </w:p>
          <w:p>
            <w:pPr>
              <w:pStyle w:val="13"/>
              <w:widowControl/>
              <w:numPr>
                <w:ilvl w:val="0"/>
                <w:numId w:val="1"/>
              </w:numPr>
              <w:spacing w:line="320" w:lineRule="exact"/>
              <w:ind w:firstLineChars="0"/>
              <w:rPr>
                <w:rFonts w:ascii="宋体" w:hAnsi="宋体" w:cs="微软雅黑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※</w:t>
            </w:r>
            <w:r>
              <w:rPr>
                <w:rFonts w:hint="eastAsia" w:ascii="宋体" w:hAnsi="宋体" w:cs="微软雅黑"/>
                <w:color w:val="auto"/>
                <w:szCs w:val="21"/>
              </w:rPr>
              <w:t>拼接缝隙左右共≤</w:t>
            </w:r>
            <w:r>
              <w:rPr>
                <w:rFonts w:ascii="宋体" w:hAnsi="宋体" w:cs="微软雅黑"/>
                <w:color w:val="auto"/>
                <w:szCs w:val="21"/>
              </w:rPr>
              <w:t>3.5</w:t>
            </w:r>
            <w:r>
              <w:rPr>
                <w:rFonts w:hint="eastAsia" w:ascii="宋体" w:hAnsi="宋体" w:cs="微软雅黑"/>
                <w:color w:val="auto"/>
                <w:szCs w:val="21"/>
              </w:rPr>
              <w:t>mm，屏幕比例：16:9，可视角度：178°；</w:t>
            </w:r>
          </w:p>
          <w:p>
            <w:pPr>
              <w:pStyle w:val="13"/>
              <w:widowControl/>
              <w:numPr>
                <w:ilvl w:val="0"/>
                <w:numId w:val="1"/>
              </w:numPr>
              <w:spacing w:line="320" w:lineRule="exact"/>
              <w:ind w:firstLineChars="0"/>
              <w:rPr>
                <w:rFonts w:ascii="宋体" w:hAnsi="宋体" w:cs="微软雅黑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★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屏体</w:t>
            </w:r>
            <w:r>
              <w:rPr>
                <w:rFonts w:hint="eastAsia" w:ascii="宋体" w:hAnsi="宋体" w:cs="微软雅黑"/>
                <w:color w:val="auto"/>
                <w:szCs w:val="21"/>
              </w:rPr>
              <w:t>亮度：≥</w:t>
            </w:r>
            <w:r>
              <w:rPr>
                <w:rFonts w:ascii="宋体" w:hAnsi="宋体" w:cs="微软雅黑"/>
                <w:color w:val="auto"/>
                <w:szCs w:val="21"/>
              </w:rPr>
              <w:t>6</w:t>
            </w:r>
            <w:r>
              <w:rPr>
                <w:rFonts w:hint="eastAsia" w:ascii="宋体" w:hAnsi="宋体" w:cs="微软雅黑"/>
                <w:color w:val="auto"/>
                <w:szCs w:val="21"/>
              </w:rPr>
              <w:t>00cd/m²，屏幕面板采用原装A</w:t>
            </w:r>
            <w:r>
              <w:rPr>
                <w:rFonts w:ascii="宋体" w:hAnsi="宋体" w:cs="微软雅黑"/>
                <w:color w:val="auto"/>
                <w:szCs w:val="21"/>
              </w:rPr>
              <w:t>+</w:t>
            </w:r>
            <w:r>
              <w:rPr>
                <w:rFonts w:hint="eastAsia" w:ascii="宋体" w:hAnsi="宋体" w:cs="微软雅黑"/>
                <w:color w:val="auto"/>
                <w:szCs w:val="21"/>
              </w:rPr>
              <w:t>规；（提供封面同时盖有ilac-MRA、CNAS章的权威第三方检测机构出具的报告复印件并加盖厂商公章）</w:t>
            </w:r>
          </w:p>
          <w:p>
            <w:pPr>
              <w:pStyle w:val="13"/>
              <w:widowControl/>
              <w:numPr>
                <w:ilvl w:val="0"/>
                <w:numId w:val="1"/>
              </w:numPr>
              <w:spacing w:line="320" w:lineRule="exact"/>
              <w:ind w:firstLineChars="0"/>
              <w:rPr>
                <w:rFonts w:ascii="宋体" w:hAnsi="宋体" w:cs="微软雅黑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LCD显示单元抗扰度限值应符合GB/T 17618-2015规定至少取4个点进行静电放电，正负极各100次，接触放电4kV，空气放电8kV</w:t>
            </w:r>
            <w:r>
              <w:rPr>
                <w:rFonts w:hint="eastAsia" w:ascii="宋体" w:hAnsi="宋体" w:cs="微软雅黑"/>
                <w:color w:val="auto"/>
                <w:szCs w:val="21"/>
              </w:rPr>
              <w:t>（提供封面同时盖有ilac-MRA、CNAS章的权威第三方检测机构出具的报告复印件并加盖厂商公章）。</w:t>
            </w:r>
          </w:p>
          <w:p>
            <w:pPr>
              <w:pStyle w:val="13"/>
              <w:widowControl/>
              <w:numPr>
                <w:ilvl w:val="0"/>
                <w:numId w:val="1"/>
              </w:numPr>
              <w:spacing w:line="320" w:lineRule="exact"/>
              <w:ind w:firstLineChars="0"/>
              <w:rPr>
                <w:rFonts w:ascii="宋体" w:hAnsi="宋体" w:cs="微软雅黑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所投产品是LED 背光源液晶显示屏, 背光采用点阵式LED灯排列技术;且有校正功能 具有逐点亮度及色度校正功能。</w:t>
            </w:r>
            <w:r>
              <w:rPr>
                <w:rFonts w:hint="eastAsia" w:ascii="宋体" w:hAnsi="宋体" w:cs="微软雅黑"/>
                <w:color w:val="auto"/>
                <w:szCs w:val="21"/>
              </w:rPr>
              <w:t>（提供封面同时盖有ilac-MRA、CNAS章的权威第三方检测机构出具的报告复印件并加盖厂商公章）。</w:t>
            </w:r>
          </w:p>
          <w:p>
            <w:pPr>
              <w:pStyle w:val="13"/>
              <w:widowControl/>
              <w:numPr>
                <w:ilvl w:val="0"/>
                <w:numId w:val="1"/>
              </w:numPr>
              <w:spacing w:line="320" w:lineRule="exact"/>
              <w:ind w:firstLineChars="0"/>
              <w:rPr>
                <w:rFonts w:ascii="宋体" w:hAnsi="宋体" w:cs="微软雅黑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所投</w:t>
            </w:r>
            <w:r>
              <w:rPr>
                <w:rFonts w:hint="eastAsia" w:ascii="宋体" w:hAnsi="宋体" w:cs="微软雅黑"/>
                <w:color w:val="auto"/>
                <w:szCs w:val="21"/>
              </w:rPr>
              <w:t>产品依据GB/T 17618-2015，交流电源端：差模0.5kV,共1kV，测试后符合要求。（提供封面同时盖有ilac-MRA、CNAS章的权威第三方检测机构出具的报告复印件并加盖厂商公章）。</w:t>
            </w:r>
          </w:p>
          <w:p>
            <w:pPr>
              <w:pStyle w:val="13"/>
              <w:widowControl/>
              <w:numPr>
                <w:ilvl w:val="0"/>
                <w:numId w:val="1"/>
              </w:numPr>
              <w:spacing w:line="320" w:lineRule="exact"/>
              <w:ind w:firstLineChars="0"/>
              <w:rPr>
                <w:rFonts w:ascii="宋体" w:hAnsi="宋体" w:cs="微软雅黑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★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所投</w:t>
            </w:r>
            <w:r>
              <w:rPr>
                <w:rFonts w:hint="eastAsia" w:ascii="宋体" w:hAnsi="宋体" w:cs="微软雅黑"/>
                <w:color w:val="auto"/>
                <w:szCs w:val="21"/>
              </w:rPr>
              <w:t>产</w:t>
            </w:r>
            <w:r>
              <w:rPr>
                <w:rFonts w:hint="eastAsia"/>
                <w:color w:val="auto"/>
                <w:szCs w:val="21"/>
              </w:rPr>
              <w:t>品按GB/T2423.2-2008的规定方法进行，测试样品不包装、不通电，样品放入试验箱中，试验箱内温度85℃，存放72h</w:t>
            </w:r>
            <w:r>
              <w:rPr>
                <w:rFonts w:hint="eastAsia" w:ascii="TimesNewRomanPSMT" w:hAnsi="TimesNewRomanPSMT"/>
                <w:color w:val="auto"/>
                <w:szCs w:val="21"/>
              </w:rPr>
              <w:t>产</w:t>
            </w:r>
            <w:r>
              <w:rPr>
                <w:rFonts w:hint="eastAsia"/>
                <w:color w:val="auto"/>
                <w:szCs w:val="21"/>
              </w:rPr>
              <w:t>品外观结构和功能应正常；</w:t>
            </w:r>
            <w:r>
              <w:rPr>
                <w:rFonts w:hint="eastAsia" w:ascii="宋体" w:hAnsi="宋体" w:cs="微软雅黑"/>
                <w:color w:val="auto"/>
                <w:szCs w:val="21"/>
              </w:rPr>
              <w:t>（提供封面同时盖有ilac-MRA、CNAS章的权威第三方检测机构出具的报告复印件并加盖厂商公章）。</w:t>
            </w:r>
          </w:p>
          <w:p>
            <w:pPr>
              <w:pStyle w:val="13"/>
              <w:widowControl/>
              <w:numPr>
                <w:ilvl w:val="0"/>
                <w:numId w:val="1"/>
              </w:numPr>
              <w:spacing w:line="320" w:lineRule="exact"/>
              <w:ind w:firstLineChars="0"/>
              <w:rPr>
                <w:rFonts w:ascii="宋体" w:hAnsi="宋体" w:cs="微软雅黑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★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所投</w:t>
            </w:r>
            <w:r>
              <w:rPr>
                <w:rFonts w:hint="eastAsia" w:ascii="宋体" w:hAnsi="宋体" w:cs="微软雅黑"/>
                <w:color w:val="auto"/>
                <w:szCs w:val="21"/>
              </w:rPr>
              <w:t>产</w:t>
            </w:r>
            <w:r>
              <w:rPr>
                <w:rFonts w:hint="eastAsia"/>
                <w:color w:val="auto"/>
                <w:szCs w:val="21"/>
              </w:rPr>
              <w:t>品液晶产品显示单元漏光度≤0.00</w:t>
            </w:r>
            <w:r>
              <w:rPr>
                <w:color w:val="auto"/>
                <w:szCs w:val="21"/>
              </w:rPr>
              <w:t>2</w:t>
            </w:r>
            <w:r>
              <w:rPr>
                <w:rFonts w:hint="eastAsia"/>
                <w:color w:val="auto"/>
                <w:szCs w:val="21"/>
              </w:rPr>
              <w:t>cd/㎡</w:t>
            </w:r>
            <w:r>
              <w:rPr>
                <w:rFonts w:hint="eastAsia" w:ascii="宋体" w:hAnsi="宋体" w:cs="微软雅黑"/>
                <w:color w:val="auto"/>
                <w:szCs w:val="21"/>
              </w:rPr>
              <w:t>（提供封面同时盖有ilac-MRA、CNAS章的权威第三方检测机构出具的报告复印件并加盖厂商公章）。</w:t>
            </w:r>
          </w:p>
          <w:p>
            <w:pPr>
              <w:pStyle w:val="13"/>
              <w:widowControl/>
              <w:numPr>
                <w:ilvl w:val="0"/>
                <w:numId w:val="1"/>
              </w:numPr>
              <w:spacing w:line="320" w:lineRule="exact"/>
              <w:ind w:firstLineChars="0"/>
              <w:rPr>
                <w:rFonts w:ascii="宋体" w:hAnsi="宋体" w:cs="微软雅黑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★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所投</w:t>
            </w:r>
            <w:r>
              <w:rPr>
                <w:rFonts w:hint="eastAsia"/>
                <w:color w:val="auto"/>
                <w:szCs w:val="21"/>
              </w:rPr>
              <w:t>液晶显示单元拼接安装后，拼接精度≤0.1mm</w:t>
            </w:r>
            <w:r>
              <w:rPr>
                <w:rFonts w:hint="eastAsia" w:ascii="宋体" w:hAnsi="宋体" w:cs="微软雅黑"/>
                <w:color w:val="auto"/>
                <w:szCs w:val="21"/>
              </w:rPr>
              <w:t>；（提供封面同时盖有ilac-MRA、CNAS章的权威第三方检测机构出具的报告复印件并加盖厂商公章、原件备查）。</w:t>
            </w:r>
          </w:p>
          <w:p>
            <w:pPr>
              <w:pStyle w:val="13"/>
              <w:widowControl/>
              <w:numPr>
                <w:ilvl w:val="0"/>
                <w:numId w:val="1"/>
              </w:numPr>
              <w:spacing w:line="320" w:lineRule="exact"/>
              <w:ind w:firstLineChars="0"/>
              <w:rPr>
                <w:rFonts w:ascii="宋体" w:hAnsi="宋体" w:cs="微软雅黑"/>
                <w:color w:val="auto"/>
                <w:szCs w:val="21"/>
              </w:rPr>
            </w:pPr>
            <w:r>
              <w:rPr>
                <w:rFonts w:hint="eastAsia" w:ascii="宋体" w:hAnsi="宋体" w:cs="微软雅黑"/>
                <w:color w:val="auto"/>
                <w:szCs w:val="21"/>
              </w:rPr>
              <w:t>符合GB/Z 39942-2021标准，依据标准进行光生物安全及蓝光危害评估检测无危害类在8h（30000s)曝辐中不造成光化学紫外危害（ES），并在1000s（约16min)内不造成近紫外危害（EUVA），并在10000s（约2.8h）内不造成对视网膜蓝光危害（LB）并在10s内不造成对视网膜热危害（LR），并且在1000s内不造成对眼睛的红外辐射危害（EIR）LB≤100W.m-2 .sr-1（提供封面同时盖有ilac-MRA、CNAS章的权威第三方检测机构出具的报告复印件并加盖厂商公章）。</w:t>
            </w:r>
          </w:p>
          <w:p>
            <w:pPr>
              <w:pStyle w:val="13"/>
              <w:widowControl/>
              <w:numPr>
                <w:ilvl w:val="0"/>
                <w:numId w:val="1"/>
              </w:numPr>
              <w:spacing w:line="320" w:lineRule="exact"/>
              <w:ind w:firstLineChars="0"/>
              <w:rPr>
                <w:rFonts w:ascii="宋体" w:hAnsi="宋体" w:cs="微软雅黑"/>
                <w:color w:val="auto"/>
                <w:szCs w:val="21"/>
              </w:rPr>
            </w:pPr>
            <w:r>
              <w:rPr>
                <w:rFonts w:hint="eastAsia" w:ascii="宋体" w:hAnsi="宋体" w:cs="微软雅黑"/>
                <w:color w:val="auto"/>
                <w:szCs w:val="21"/>
              </w:rPr>
              <w:t>所投产品噪声测试：在专业测试环境中，测试距离=1m  声压级≤</w:t>
            </w:r>
            <w:r>
              <w:rPr>
                <w:rFonts w:ascii="宋体" w:hAnsi="宋体" w:cs="微软雅黑"/>
                <w:color w:val="auto"/>
                <w:szCs w:val="21"/>
              </w:rPr>
              <w:t>34</w:t>
            </w:r>
            <w:r>
              <w:rPr>
                <w:rFonts w:hint="eastAsia" w:ascii="宋体" w:hAnsi="宋体" w:cs="微软雅黑"/>
                <w:color w:val="auto"/>
                <w:szCs w:val="21"/>
              </w:rPr>
              <w:t>dB（提供封面同时盖有ilac-MRA、CNAS章的权威第三方检测机构出具的报告复印件并加盖厂商公章）。</w:t>
            </w:r>
          </w:p>
          <w:p>
            <w:pPr>
              <w:pStyle w:val="13"/>
              <w:widowControl/>
              <w:numPr>
                <w:ilvl w:val="0"/>
                <w:numId w:val="1"/>
              </w:numPr>
              <w:spacing w:line="320" w:lineRule="exact"/>
              <w:ind w:firstLineChars="0"/>
              <w:rPr>
                <w:rFonts w:ascii="宋体" w:hAnsi="宋体" w:cs="微软雅黑"/>
                <w:color w:val="auto"/>
                <w:szCs w:val="21"/>
              </w:rPr>
            </w:pPr>
            <w:r>
              <w:rPr>
                <w:rFonts w:hint="eastAsia" w:ascii="宋体" w:hAnsi="宋体" w:cs="微软雅黑"/>
                <w:color w:val="auto"/>
                <w:szCs w:val="21"/>
              </w:rPr>
              <w:t>单元有效显示范围不小于：</w:t>
            </w:r>
            <w:r>
              <w:rPr>
                <w:rFonts w:hint="eastAsia" w:cs="宋体"/>
                <w:color w:val="auto"/>
                <w:kern w:val="0"/>
                <w:sz w:val="20"/>
              </w:rPr>
              <w:t>1073.78×604mm</w:t>
            </w:r>
            <w:r>
              <w:rPr>
                <w:rFonts w:hint="eastAsia" w:ascii="宋体" w:hAnsi="宋体" w:cs="微软雅黑"/>
                <w:color w:val="auto"/>
                <w:szCs w:val="21"/>
              </w:rPr>
              <w:t>，标准颜色：1.07Billion；</w:t>
            </w:r>
          </w:p>
          <w:p>
            <w:pPr>
              <w:pStyle w:val="13"/>
              <w:widowControl/>
              <w:numPr>
                <w:ilvl w:val="0"/>
                <w:numId w:val="1"/>
              </w:numPr>
              <w:spacing w:line="320" w:lineRule="exact"/>
              <w:ind w:firstLineChars="0"/>
              <w:rPr>
                <w:rFonts w:ascii="宋体" w:hAnsi="宋体" w:cs="微软雅黑"/>
                <w:color w:val="auto"/>
                <w:szCs w:val="21"/>
              </w:rPr>
            </w:pPr>
            <w:r>
              <w:rPr>
                <w:rFonts w:hint="eastAsia" w:ascii="宋体" w:hAnsi="宋体" w:cs="微软雅黑"/>
                <w:color w:val="auto"/>
                <w:szCs w:val="21"/>
              </w:rPr>
              <w:t>支持DVI、HDMI、VGA、CVBS等信号输入接口；</w:t>
            </w:r>
          </w:p>
          <w:p>
            <w:pPr>
              <w:pStyle w:val="13"/>
              <w:widowControl/>
              <w:numPr>
                <w:ilvl w:val="0"/>
                <w:numId w:val="1"/>
              </w:numPr>
              <w:spacing w:line="320" w:lineRule="exact"/>
              <w:ind w:firstLineChars="0"/>
              <w:rPr>
                <w:rFonts w:ascii="宋体" w:hAnsi="宋体" w:cs="微软雅黑"/>
                <w:color w:val="auto"/>
                <w:szCs w:val="21"/>
              </w:rPr>
            </w:pPr>
            <w:r>
              <w:rPr>
                <w:rFonts w:hint="eastAsia" w:ascii="宋体" w:hAnsi="宋体" w:cs="微软雅黑"/>
                <w:color w:val="auto"/>
                <w:szCs w:val="21"/>
              </w:rPr>
              <w:t>支持RS485、红外线控两种控制方式；</w:t>
            </w:r>
          </w:p>
          <w:p>
            <w:pPr>
              <w:widowControl/>
              <w:numPr>
                <w:ilvl w:val="0"/>
                <w:numId w:val="1"/>
              </w:numPr>
              <w:spacing w:line="320" w:lineRule="exact"/>
              <w:jc w:val="left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/>
                <w:color w:val="auto"/>
              </w:rPr>
              <w:t>★</w:t>
            </w:r>
            <w:r>
              <w:rPr>
                <w:rFonts w:hint="eastAsia" w:ascii="宋体" w:hAnsi="宋体" w:cs="宋体"/>
                <w:color w:val="auto"/>
                <w:szCs w:val="21"/>
              </w:rPr>
              <w:t>液晶屏的电源电路具有防雷放电结构，更好的保护产品防雷等。需提供第三方权威技术证明文件复印件并加盖厂家公章。</w:t>
            </w:r>
          </w:p>
          <w:p>
            <w:pPr>
              <w:widowControl/>
              <w:numPr>
                <w:ilvl w:val="0"/>
                <w:numId w:val="1"/>
              </w:numPr>
              <w:spacing w:line="320" w:lineRule="exact"/>
              <w:jc w:val="left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★</w:t>
            </w:r>
            <w:r>
              <w:rPr>
                <w:rFonts w:hint="eastAsia" w:ascii="宋体" w:hAnsi="宋体" w:cs="宋体"/>
                <w:color w:val="auto"/>
                <w:szCs w:val="21"/>
              </w:rPr>
              <w:t>产品出厂时坏点率须为 0，且在最大亮度下运行产生的坏点率不超过 1ppm。</w:t>
            </w:r>
            <w:r>
              <w:rPr>
                <w:rFonts w:hint="eastAsia" w:ascii="宋体" w:hAnsi="宋体" w:cs="微软雅黑"/>
                <w:color w:val="auto"/>
                <w:szCs w:val="21"/>
              </w:rPr>
              <w:t>（提供封面同时盖有ilac-MRA、CNAS章的权威第三方检测机构出具的报告复印件并加盖厂商公章）。</w:t>
            </w:r>
          </w:p>
          <w:p>
            <w:pPr>
              <w:widowControl/>
              <w:numPr>
                <w:ilvl w:val="0"/>
                <w:numId w:val="1"/>
              </w:numPr>
              <w:spacing w:line="320" w:lineRule="exact"/>
              <w:jc w:val="left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/>
                <w:color w:val="auto"/>
              </w:rPr>
              <w:t>★对</w:t>
            </w:r>
            <w:r>
              <w:rPr>
                <w:rFonts w:hint="eastAsia" w:ascii="宋体" w:hAnsi="宋体" w:cs="宋体"/>
                <w:color w:val="auto"/>
                <w:szCs w:val="21"/>
              </w:rPr>
              <w:t>液晶屏进行</w:t>
            </w:r>
            <w:r>
              <w:rPr>
                <w:rFonts w:ascii="TimesNewRomanPSMT" w:hAnsi="TimesNewRomanPSMT" w:cs="宋体"/>
                <w:color w:val="auto"/>
                <w:kern w:val="0"/>
                <w:szCs w:val="21"/>
              </w:rPr>
              <w:t xml:space="preserve">EUT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 xml:space="preserve">可接触的导电表面、螺钉、端口等金属体接触放电，分别选择 </w:t>
            </w:r>
            <w:r>
              <w:rPr>
                <w:rFonts w:ascii="TimesNewRomanPSMT" w:hAnsi="TimesNewRomanPSMT" w:cs="宋体"/>
                <w:color w:val="auto"/>
                <w:kern w:val="0"/>
                <w:szCs w:val="21"/>
              </w:rPr>
              <w:t xml:space="preserve">4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 xml:space="preserve">个以上试验点进行（每点至少 </w:t>
            </w:r>
            <w:r>
              <w:rPr>
                <w:rFonts w:ascii="TimesNewRomanPSMT" w:hAnsi="TimesNewRomanPSMT" w:cs="宋体"/>
                <w:color w:val="auto"/>
                <w:kern w:val="0"/>
                <w:szCs w:val="21"/>
              </w:rPr>
              <w:t xml:space="preserve">20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 xml:space="preserve">次，正负极性各 </w:t>
            </w:r>
            <w:r>
              <w:rPr>
                <w:rFonts w:ascii="TimesNewRomanPSMT" w:hAnsi="TimesNewRomanPSMT" w:cs="宋体"/>
                <w:color w:val="auto"/>
                <w:kern w:val="0"/>
                <w:szCs w:val="21"/>
              </w:rPr>
              <w:t xml:space="preserve">10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 xml:space="preserve">次），其中一个试验点承受水平耦合板前边缘中心距 </w:t>
            </w:r>
            <w:r>
              <w:rPr>
                <w:rFonts w:ascii="TimesNewRomanPSMT" w:hAnsi="TimesNewRomanPSMT" w:cs="宋体"/>
                <w:color w:val="auto"/>
                <w:kern w:val="0"/>
                <w:szCs w:val="21"/>
              </w:rPr>
              <w:t xml:space="preserve">EUT 0.1m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 xml:space="preserve">处至少 </w:t>
            </w:r>
            <w:r>
              <w:rPr>
                <w:rFonts w:ascii="TimesNewRomanPSMT" w:hAnsi="TimesNewRomanPSMT" w:cs="宋体"/>
                <w:color w:val="auto"/>
                <w:kern w:val="0"/>
                <w:szCs w:val="21"/>
              </w:rPr>
              <w:t xml:space="preserve">20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 xml:space="preserve">次间接（接触）放电。试验电压 </w:t>
            </w:r>
            <w:r>
              <w:rPr>
                <w:rFonts w:ascii="TimesNewRomanPSMT" w:hAnsi="TimesNewRomanPSMT" w:cs="宋体"/>
                <w:color w:val="auto"/>
                <w:kern w:val="0"/>
                <w:szCs w:val="21"/>
              </w:rPr>
              <w:t>4kV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 xml:space="preserve">，用尖端接触放电枪头，最大放电重复频率为 </w:t>
            </w:r>
            <w:r>
              <w:rPr>
                <w:rFonts w:ascii="TimesNewRomanPSMT" w:hAnsi="TimesNewRomanPSMT" w:cs="宋体"/>
                <w:color w:val="auto"/>
                <w:kern w:val="0"/>
                <w:szCs w:val="21"/>
              </w:rPr>
              <w:t xml:space="preserve">1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次</w:t>
            </w:r>
            <w:r>
              <w:rPr>
                <w:rFonts w:ascii="TimesNewRomanPSMT" w:hAnsi="TimesNewRomanPSMT" w:cs="宋体"/>
                <w:color w:val="auto"/>
                <w:kern w:val="0"/>
                <w:szCs w:val="21"/>
              </w:rPr>
              <w:t>/s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。试验电压应从最小值逐渐增加至规定的试，以确定故障的临界值。产品</w:t>
            </w:r>
            <w:r>
              <w:rPr>
                <w:rFonts w:hint="eastAsia"/>
                <w:color w:val="auto"/>
                <w:szCs w:val="21"/>
              </w:rPr>
              <w:t>试验后，无需操作人员介入，</w:t>
            </w:r>
            <w:r>
              <w:rPr>
                <w:rFonts w:ascii="TimesNewRomanPSMT" w:hAnsi="TimesNewRomanPSMT"/>
                <w:color w:val="auto"/>
                <w:szCs w:val="21"/>
              </w:rPr>
              <w:t xml:space="preserve">EUT </w:t>
            </w:r>
            <w:r>
              <w:rPr>
                <w:rFonts w:hint="eastAsia"/>
                <w:color w:val="auto"/>
                <w:szCs w:val="21"/>
              </w:rPr>
              <w:t>应能继续按预期的要求工作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；结束后产品符合要求。</w:t>
            </w:r>
            <w:r>
              <w:rPr>
                <w:rFonts w:hint="eastAsia" w:ascii="宋体" w:hAnsi="宋体" w:cs="微软雅黑"/>
                <w:color w:val="auto"/>
                <w:szCs w:val="21"/>
              </w:rPr>
              <w:t>（提供封面同时盖有ilac-MRA、CNAS章的权威第三方检测机构出具的报告复印件并加盖厂商公章）</w:t>
            </w:r>
            <w:r>
              <w:rPr>
                <w:rFonts w:hint="eastAsia" w:ascii="宋体" w:hAnsi="宋体" w:cs="宋体"/>
                <w:color w:val="auto"/>
                <w:szCs w:val="21"/>
              </w:rPr>
              <w:t>。</w:t>
            </w:r>
          </w:p>
          <w:p>
            <w:pPr>
              <w:widowControl/>
              <w:numPr>
                <w:ilvl w:val="0"/>
                <w:numId w:val="1"/>
              </w:numPr>
              <w:spacing w:line="320" w:lineRule="exact"/>
              <w:jc w:val="left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/>
                <w:color w:val="auto"/>
              </w:rPr>
              <w:t>★</w:t>
            </w:r>
            <w:r>
              <w:rPr>
                <w:rFonts w:hint="eastAsia" w:ascii="宋体" w:hAnsi="宋体" w:cs="宋体"/>
                <w:color w:val="auto"/>
                <w:szCs w:val="21"/>
              </w:rPr>
              <w:t>液晶屏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电压暂降、短时中断抗扰度试验按</w:t>
            </w:r>
            <w:r>
              <w:rPr>
                <w:rFonts w:ascii="TimesNewRomanPSMT" w:hAnsi="TimesNewRomanPSMT"/>
                <w:color w:val="auto"/>
                <w:szCs w:val="21"/>
              </w:rPr>
              <w:t>GB/T 17618-2015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 xml:space="preserve">要求进行, </w:t>
            </w:r>
            <w:r>
              <w:rPr>
                <w:rFonts w:hint="eastAsia"/>
                <w:color w:val="auto"/>
                <w:szCs w:val="21"/>
              </w:rPr>
              <w:t xml:space="preserve">电压暂降：电压降低 </w:t>
            </w:r>
            <w:r>
              <w:rPr>
                <w:rFonts w:ascii="TimesNewRomanPSMT" w:hAnsi="TimesNewRomanPSMT"/>
                <w:color w:val="auto"/>
                <w:szCs w:val="21"/>
              </w:rPr>
              <w:t>70%</w:t>
            </w:r>
            <w:r>
              <w:rPr>
                <w:rFonts w:hint="eastAsia"/>
                <w:color w:val="auto"/>
                <w:szCs w:val="21"/>
              </w:rPr>
              <w:t xml:space="preserve">，持续时间 </w:t>
            </w:r>
            <w:r>
              <w:rPr>
                <w:rFonts w:ascii="TimesNewRomanPSMT" w:hAnsi="TimesNewRomanPSMT"/>
                <w:color w:val="auto"/>
                <w:szCs w:val="21"/>
              </w:rPr>
              <w:t>500ms</w:t>
            </w:r>
            <w:r>
              <w:rPr>
                <w:rFonts w:hint="eastAsia"/>
                <w:color w:val="auto"/>
                <w:szCs w:val="21"/>
              </w:rPr>
              <w:t>，试验后，无需操作人员介入，</w:t>
            </w:r>
            <w:r>
              <w:rPr>
                <w:rFonts w:ascii="TimesNewRomanPSMT" w:hAnsi="TimesNewRomanPSMT"/>
                <w:color w:val="auto"/>
                <w:szCs w:val="21"/>
              </w:rPr>
              <w:t xml:space="preserve">EUT </w:t>
            </w:r>
            <w:r>
              <w:rPr>
                <w:rFonts w:hint="eastAsia"/>
                <w:color w:val="auto"/>
                <w:szCs w:val="21"/>
              </w:rPr>
              <w:t>应能继续按预期的要求工作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；结束后产品符合要求。。</w:t>
            </w:r>
            <w:r>
              <w:rPr>
                <w:rFonts w:hint="eastAsia" w:ascii="宋体" w:hAnsi="宋体" w:cs="微软雅黑"/>
                <w:color w:val="auto"/>
                <w:szCs w:val="21"/>
              </w:rPr>
              <w:t>（提供封面同时盖有ilac-MRA、CNAS章的权威第三方检测机构出具的报告复印件并加盖厂商公章）。</w:t>
            </w:r>
          </w:p>
          <w:p>
            <w:pPr>
              <w:widowControl/>
              <w:numPr>
                <w:ilvl w:val="0"/>
                <w:numId w:val="1"/>
              </w:numPr>
              <w:spacing w:line="320" w:lineRule="exact"/>
              <w:jc w:val="left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基于保护人体感光变化影响以及节能的效果，液晶屏具有人眼视觉特性曲线进行亮度调节的技术。</w:t>
            </w:r>
            <w:r>
              <w:rPr>
                <w:rFonts w:hint="eastAsia" w:ascii="宋体" w:hAnsi="宋体" w:cs="宋体"/>
                <w:color w:val="auto"/>
                <w:szCs w:val="21"/>
              </w:rPr>
              <w:t>需提供相关技术证明文件并提供复印件并加盖厂家公章。</w:t>
            </w:r>
          </w:p>
          <w:p>
            <w:pPr>
              <w:pStyle w:val="13"/>
              <w:widowControl/>
              <w:numPr>
                <w:ilvl w:val="0"/>
                <w:numId w:val="1"/>
              </w:numPr>
              <w:spacing w:line="320" w:lineRule="exact"/>
              <w:ind w:firstLineChars="0"/>
              <w:rPr>
                <w:rFonts w:ascii="宋体" w:hAnsi="宋体" w:cs="微软雅黑"/>
                <w:color w:val="auto"/>
                <w:szCs w:val="21"/>
              </w:rPr>
            </w:pPr>
            <w:r>
              <w:rPr>
                <w:rFonts w:hint="eastAsia" w:ascii="宋体" w:hAnsi="宋体" w:cs="微软雅黑"/>
                <w:color w:val="auto"/>
                <w:szCs w:val="21"/>
              </w:rPr>
              <w:t>节能模式  用户可手动打开节能模式，有效节能大于30%。</w:t>
            </w:r>
          </w:p>
          <w:p>
            <w:pPr>
              <w:pStyle w:val="13"/>
              <w:widowControl/>
              <w:numPr>
                <w:ilvl w:val="0"/>
                <w:numId w:val="1"/>
              </w:numPr>
              <w:spacing w:line="320" w:lineRule="exact"/>
              <w:ind w:firstLineChars="0"/>
              <w:rPr>
                <w:rFonts w:ascii="宋体" w:hAnsi="宋体" w:cs="微软雅黑"/>
                <w:color w:val="auto"/>
                <w:szCs w:val="21"/>
              </w:rPr>
            </w:pPr>
            <w:r>
              <w:rPr>
                <w:rFonts w:hint="eastAsia" w:ascii="宋体" w:hAnsi="宋体" w:cs="微软雅黑"/>
                <w:color w:val="auto"/>
                <w:szCs w:val="21"/>
              </w:rPr>
              <w:t>黑白平衡调节，针对不同的拼接屏分别调节亮场/暗场的RGB值，以达到良好的显示效果。</w:t>
            </w:r>
          </w:p>
          <w:p>
            <w:pPr>
              <w:pStyle w:val="13"/>
              <w:widowControl/>
              <w:numPr>
                <w:ilvl w:val="0"/>
                <w:numId w:val="1"/>
              </w:numPr>
              <w:spacing w:line="320" w:lineRule="exact"/>
              <w:ind w:firstLineChars="0"/>
              <w:rPr>
                <w:rFonts w:ascii="宋体" w:hAnsi="宋体" w:cs="微软雅黑"/>
                <w:color w:val="auto"/>
                <w:szCs w:val="21"/>
              </w:rPr>
            </w:pPr>
            <w:r>
              <w:rPr>
                <w:rFonts w:hint="eastAsia" w:ascii="宋体" w:hAnsi="宋体" w:cs="微软雅黑"/>
                <w:color w:val="auto"/>
                <w:szCs w:val="21"/>
              </w:rPr>
              <w:t>USB播放，内置USB解码模块，支持图片、电影、音乐、电子书的解码播放。音频：支持wma、mp3、wav、flac等文件视频：支持MP4、avi、mkv、rmvb、mov等文件；图片：支持jpg、bmp、png等文件文本：支持txt文件。</w:t>
            </w:r>
          </w:p>
          <w:p>
            <w:pPr>
              <w:pStyle w:val="13"/>
              <w:widowControl/>
              <w:numPr>
                <w:ilvl w:val="0"/>
                <w:numId w:val="1"/>
              </w:numPr>
              <w:spacing w:line="320" w:lineRule="exact"/>
              <w:ind w:firstLineChars="0"/>
              <w:rPr>
                <w:rFonts w:ascii="宋体" w:hAnsi="宋体" w:cs="微软雅黑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★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所投产品要求通过C</w:t>
            </w:r>
            <w:r>
              <w:rPr>
                <w:rFonts w:ascii="宋体" w:hAnsi="宋体" w:cs="宋体"/>
                <w:color w:val="auto"/>
                <w:kern w:val="0"/>
                <w:szCs w:val="21"/>
              </w:rPr>
              <w:t>C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C认证、节能认证。提供证书复印件加盖原厂公章，原件备查。</w:t>
            </w:r>
          </w:p>
          <w:p>
            <w:pPr>
              <w:pStyle w:val="13"/>
              <w:widowControl/>
              <w:spacing w:line="320" w:lineRule="exact"/>
              <w:ind w:left="420" w:firstLine="0" w:firstLineChars="0"/>
              <w:rPr>
                <w:rFonts w:hint="eastAsia" w:ascii="宋体" w:hAnsi="宋体" w:cs="微软雅黑"/>
                <w:color w:val="auto"/>
                <w:szCs w:val="21"/>
              </w:rPr>
            </w:pPr>
          </w:p>
        </w:tc>
        <w:tc>
          <w:tcPr>
            <w:tcW w:w="41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9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+1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（备用）</w:t>
            </w:r>
          </w:p>
        </w:tc>
        <w:tc>
          <w:tcPr>
            <w:tcW w:w="2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2</w:t>
            </w:r>
          </w:p>
        </w:tc>
        <w:tc>
          <w:tcPr>
            <w:tcW w:w="3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拼接控制器</w:t>
            </w:r>
          </w:p>
        </w:tc>
        <w:tc>
          <w:tcPr>
            <w:tcW w:w="369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pacing w:line="320" w:lineRule="exact"/>
              <w:rPr>
                <w:rFonts w:ascii="宋体" w:hAnsi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</w:rPr>
              <w:t>输入输出需求不少于：</w:t>
            </w:r>
            <w:r>
              <w:rPr>
                <w:rFonts w:hint="eastAsia" w:ascii="宋体" w:hAnsi="宋体"/>
                <w:color w:val="auto"/>
                <w:kern w:val="0"/>
                <w:sz w:val="20"/>
                <w:u w:val="single"/>
              </w:rPr>
              <w:t>12路</w:t>
            </w:r>
            <w:r>
              <w:rPr>
                <w:rFonts w:ascii="宋体" w:hAnsi="宋体"/>
                <w:color w:val="auto"/>
                <w:kern w:val="0"/>
                <w:sz w:val="20"/>
                <w:u w:val="single"/>
              </w:rPr>
              <w:t>HDMI</w:t>
            </w:r>
            <w:r>
              <w:rPr>
                <w:rFonts w:hint="eastAsia" w:ascii="宋体" w:hAnsi="宋体"/>
                <w:color w:val="auto"/>
                <w:kern w:val="0"/>
                <w:sz w:val="20"/>
                <w:u w:val="single"/>
              </w:rPr>
              <w:t>2</w:t>
            </w:r>
            <w:r>
              <w:rPr>
                <w:rFonts w:ascii="宋体" w:hAnsi="宋体"/>
                <w:color w:val="auto"/>
                <w:kern w:val="0"/>
                <w:sz w:val="20"/>
                <w:u w:val="single"/>
              </w:rPr>
              <w:t>.0</w:t>
            </w:r>
            <w:r>
              <w:rPr>
                <w:rFonts w:hint="eastAsia" w:ascii="宋体" w:hAnsi="宋体"/>
                <w:color w:val="auto"/>
                <w:kern w:val="0"/>
                <w:sz w:val="20"/>
                <w:u w:val="single"/>
              </w:rPr>
              <w:t>、4路DVI输入，40路DVI输出，16</w:t>
            </w:r>
            <w:r>
              <w:rPr>
                <w:rFonts w:ascii="宋体" w:hAnsi="宋体"/>
                <w:color w:val="auto"/>
                <w:kern w:val="0"/>
                <w:sz w:val="20"/>
                <w:u w:val="single"/>
              </w:rPr>
              <w:t>U</w:t>
            </w:r>
            <w:r>
              <w:rPr>
                <w:rFonts w:hint="eastAsia" w:ascii="宋体" w:hAnsi="宋体"/>
                <w:color w:val="auto"/>
                <w:kern w:val="0"/>
                <w:sz w:val="20"/>
                <w:u w:val="single"/>
              </w:rPr>
              <w:t>机箱。</w:t>
            </w:r>
          </w:p>
          <w:p>
            <w:pPr>
              <w:pStyle w:val="13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采用纯硬件FPGA阵列底板运算交换技术，不需要任何操作系统支持，上电即可工作，启动速度快、稳定性高，不会出现死机、黑屏现象，启动时间＜5S；</w:t>
            </w:r>
          </w:p>
          <w:p>
            <w:pPr>
              <w:pStyle w:val="13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采用全硬件一体化设计，无任何计算机模块，不会出现任何崩溃、断电、死机等不良现象，启动时间＜5S；</w:t>
            </w:r>
          </w:p>
          <w:p>
            <w:pPr>
              <w:pStyle w:val="13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采用模块化结构，输入模块、输出模块、控制模块等均支持热插拔，可在运行状态下对板卡进行任意插拔和更换，方便系统升级维护；</w:t>
            </w:r>
          </w:p>
          <w:p>
            <w:pPr>
              <w:pStyle w:val="13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支持多种输入输出接口，支持VGA、DVI、HDMI、Ypbpr、CVBS、SDI、IPV、HDBaseT、Duallink输入，支持VGA、DVI、HDMI、HDBaseT及MirView本地硬回显输出；</w:t>
            </w:r>
          </w:p>
          <w:p>
            <w:pPr>
              <w:pStyle w:val="13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支持N＋1冗余电源结构，具有高度的稳定性，当系统发生故障时，可迅速启动应急措施，保证系统安全稳定运行；</w:t>
            </w:r>
          </w:p>
          <w:p>
            <w:pPr>
              <w:pStyle w:val="13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支持超高清输入，支持分辨率4K、2560x1600@60H 、1920×1200@60Hz及各种标准信号接入，可向下兼容并自定义输入分辨率；</w:t>
            </w:r>
          </w:p>
          <w:p>
            <w:pPr>
              <w:pStyle w:val="13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支持无缝切换，信号切换无需过渡转换，无黑屏蓝屏现象发生；</w:t>
            </w:r>
          </w:p>
          <w:p>
            <w:pPr>
              <w:pStyle w:val="13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所有接入的信号窗口均可在显示范围内任意移动、缩放、多画面、切换、叠加等，也可任意制定多种分屏、全屏、组合屏显示模式；</w:t>
            </w:r>
          </w:p>
          <w:p>
            <w:pPr>
              <w:pStyle w:val="13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支持任意输出通道同时显示1-16个任意格式的信号窗口，且单元内不同窗口层次可随意改动及缩放，也可拖动到其他显示屏幕上操作，互不局限和影响；</w:t>
            </w:r>
          </w:p>
          <w:p>
            <w:pPr>
              <w:pStyle w:val="13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支持信号复制功能；</w:t>
            </w:r>
          </w:p>
          <w:p>
            <w:pPr>
              <w:pStyle w:val="13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支持对窗口的显示方式、位置、窗口大小、布局进行任意调整；</w:t>
            </w:r>
          </w:p>
          <w:p>
            <w:pPr>
              <w:pStyle w:val="13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支持信号窗口命名、快速定位、分屏管理模式等多种操作；</w:t>
            </w:r>
          </w:p>
          <w:p>
            <w:pPr>
              <w:pStyle w:val="13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支持多级用户权限管理，可划分主管理员、辅助管理员、操作员等多种权限划分模式，制定分区管理模块，分级、分权管理；</w:t>
            </w:r>
          </w:p>
          <w:p>
            <w:pPr>
              <w:pStyle w:val="13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支持任意场景调用，支持不少于128种场景模式，将多种格式的输入信号保存成多种模式场景，任意调用；</w:t>
            </w:r>
          </w:p>
          <w:p>
            <w:pPr>
              <w:pStyle w:val="13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多种控制方式，支持RS232串口、网络、面板按键、中控进行控制，满足多种显示需求；</w:t>
            </w:r>
          </w:p>
          <w:p>
            <w:pPr>
              <w:pStyle w:val="13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hint="eastAsia"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支持全年365天、7*24小时连续运行使用</w:t>
            </w:r>
          </w:p>
          <w:p>
            <w:pPr>
              <w:pStyle w:val="13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机箱卡槽采用平行地面横向插卡，机箱两侧具备风扇，输入模块、输出模块、切换模块、控制模块、电源模块、风扇模块均支持热插拔。</w:t>
            </w:r>
          </w:p>
          <w:p>
            <w:pPr>
              <w:pStyle w:val="13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宋体" w:hAnsi="宋体" w:cs="宋体"/>
                <w:color w:val="auto"/>
                <w:kern w:val="0"/>
                <w:sz w:val="20"/>
              </w:rPr>
            </w:pPr>
            <w:r>
              <w:rPr>
                <w:rFonts w:ascii="宋体" w:hAnsi="宋体" w:cs="宋体"/>
                <w:color w:val="auto"/>
                <w:kern w:val="0"/>
                <w:sz w:val="20"/>
              </w:rPr>
              <w:t>移动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终端</w:t>
            </w:r>
            <w:r>
              <w:rPr>
                <w:rFonts w:ascii="宋体" w:hAnsi="宋体" w:cs="宋体"/>
                <w:color w:val="auto"/>
                <w:kern w:val="0"/>
                <w:sz w:val="20"/>
              </w:rPr>
              <w:t>可视化管理，基于Windows/Android/IOS等移动端可视化触控平台应用，支持窗口调整、切换、拖动及云台、音量、开关等智能中控应用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。</w:t>
            </w:r>
          </w:p>
          <w:p>
            <w:pPr>
              <w:pStyle w:val="13"/>
              <w:widowControl/>
              <w:numPr>
                <w:ilvl w:val="0"/>
                <w:numId w:val="2"/>
              </w:numPr>
              <w:spacing w:line="360" w:lineRule="auto"/>
              <w:ind w:firstLineChars="0"/>
              <w:rPr>
                <w:rFonts w:hint="eastAsia"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/>
                <w:color w:val="auto"/>
              </w:rPr>
              <w:t>★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所投产品要求通过C</w:t>
            </w:r>
            <w:r>
              <w:rPr>
                <w:rFonts w:ascii="宋体" w:hAnsi="宋体" w:cs="宋体"/>
                <w:color w:val="auto"/>
                <w:kern w:val="0"/>
                <w:szCs w:val="21"/>
              </w:rPr>
              <w:t>C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C认证。提供证书复印件</w:t>
            </w:r>
          </w:p>
        </w:tc>
        <w:tc>
          <w:tcPr>
            <w:tcW w:w="41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1</w:t>
            </w:r>
          </w:p>
        </w:tc>
        <w:tc>
          <w:tcPr>
            <w:tcW w:w="2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3</w:t>
            </w:r>
          </w:p>
        </w:tc>
        <w:tc>
          <w:tcPr>
            <w:tcW w:w="3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0"/>
              </w:rPr>
            </w:pPr>
            <w:r>
              <w:rPr>
                <w:rStyle w:val="12"/>
                <w:rFonts w:hint="default"/>
                <w:color w:val="auto"/>
                <w:szCs w:val="21"/>
              </w:rPr>
              <w:t>大屏控制软件</w:t>
            </w:r>
          </w:p>
        </w:tc>
        <w:tc>
          <w:tcPr>
            <w:tcW w:w="369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  <w:vAlign w:val="center"/>
          </w:tcPr>
          <w:p>
            <w:pPr>
              <w:numPr>
                <w:ilvl w:val="0"/>
                <w:numId w:val="3"/>
              </w:numPr>
              <w:rPr>
                <w:rFonts w:ascii="宋体" w:hAnsi="宋体" w:cs="宋体"/>
                <w:color w:val="auto"/>
                <w:sz w:val="20"/>
              </w:rPr>
            </w:pPr>
            <w:r>
              <w:rPr>
                <w:rFonts w:ascii="宋体" w:hAnsi="宋体" w:cs="宋体"/>
                <w:color w:val="auto"/>
                <w:sz w:val="20"/>
              </w:rPr>
              <w:t>控制软件支持多种操作平台，支持Microsoft Windows 7/8/10、NT、2000和Unix/Linux操作系统，</w:t>
            </w:r>
            <w:r>
              <w:rPr>
                <w:rFonts w:hint="eastAsia" w:ascii="宋体" w:hAnsi="宋体" w:cs="宋体"/>
                <w:color w:val="auto"/>
                <w:sz w:val="20"/>
              </w:rPr>
              <w:t xml:space="preserve"> </w:t>
            </w:r>
            <w:r>
              <w:rPr>
                <w:rFonts w:ascii="宋体" w:hAnsi="宋体" w:cs="宋体"/>
                <w:color w:val="auto"/>
                <w:sz w:val="20"/>
              </w:rPr>
              <w:t>软件遵循TCP/IP协议。</w:t>
            </w:r>
          </w:p>
          <w:p>
            <w:pPr>
              <w:numPr>
                <w:ilvl w:val="0"/>
                <w:numId w:val="3"/>
              </w:numPr>
              <w:rPr>
                <w:rFonts w:ascii="宋体" w:hAnsi="宋体" w:cs="宋体"/>
                <w:color w:val="auto"/>
                <w:sz w:val="20"/>
              </w:rPr>
            </w:pPr>
            <w:r>
              <w:rPr>
                <w:rFonts w:ascii="宋体" w:hAnsi="宋体" w:cs="宋体"/>
                <w:color w:val="auto"/>
                <w:sz w:val="20"/>
              </w:rPr>
              <w:t>可实现视频信号、RGB信号、网络信号等多种信号源的定义、管理、选择调用和切换显示；可对信号的色彩、亮度等参数进行设置、调整。具有信号源信息提示功能，方便用户随时随地了解每一路信号源的详细信息。</w:t>
            </w:r>
          </w:p>
          <w:p>
            <w:pPr>
              <w:numPr>
                <w:ilvl w:val="0"/>
                <w:numId w:val="3"/>
              </w:numPr>
              <w:rPr>
                <w:rFonts w:ascii="宋体" w:hAnsi="宋体" w:cs="宋体"/>
                <w:color w:val="auto"/>
                <w:sz w:val="20"/>
              </w:rPr>
            </w:pPr>
            <w:r>
              <w:rPr>
                <w:rFonts w:ascii="宋体" w:hAnsi="宋体" w:cs="宋体"/>
                <w:color w:val="auto"/>
                <w:sz w:val="20"/>
              </w:rPr>
              <w:t>可控制各种显示信号以窗口形式在大屏幕上显示，能灵活实现单屏显示、跨屏显示、共屏显示、任意大小显示、整屏显示等多种显示模式的设置。</w:t>
            </w:r>
          </w:p>
          <w:p>
            <w:pPr>
              <w:numPr>
                <w:ilvl w:val="0"/>
                <w:numId w:val="3"/>
              </w:numPr>
              <w:rPr>
                <w:rFonts w:ascii="宋体" w:hAnsi="宋体" w:cs="宋体"/>
                <w:color w:val="auto"/>
                <w:sz w:val="20"/>
              </w:rPr>
            </w:pPr>
            <w:r>
              <w:rPr>
                <w:rFonts w:ascii="宋体" w:hAnsi="宋体" w:cs="宋体"/>
                <w:color w:val="auto"/>
                <w:sz w:val="20"/>
              </w:rPr>
              <w:t>支持各类信号源预览及快速调用，操作员可在各类信号上屏显示之前，同时对若干信号进行开窗预览，并用鼠标快速将信号窗口拖移上屏显示。</w:t>
            </w:r>
          </w:p>
          <w:p>
            <w:pPr>
              <w:numPr>
                <w:ilvl w:val="0"/>
                <w:numId w:val="3"/>
              </w:numPr>
              <w:rPr>
                <w:rFonts w:ascii="宋体" w:hAnsi="宋体" w:cs="宋体"/>
                <w:color w:val="auto"/>
                <w:sz w:val="20"/>
              </w:rPr>
            </w:pPr>
            <w:r>
              <w:rPr>
                <w:rFonts w:ascii="宋体" w:hAnsi="宋体" w:cs="宋体"/>
                <w:color w:val="auto"/>
                <w:sz w:val="20"/>
              </w:rPr>
              <w:t>可以设定、存储和管理预案：可方便的实现预案编制、保存、修改、删除，可以实现所有显示画面预先编排（对显示信号的窗口大小、位置进行设置，以文件的形式存储用户设定模板，并可随时调用已存的显示预案），支持使用“热键”（快捷键）快速调用预案。支持预案自动执行功能，可根据时间或事件触发，实现画面自动显示。</w:t>
            </w:r>
          </w:p>
          <w:p>
            <w:pPr>
              <w:numPr>
                <w:ilvl w:val="0"/>
                <w:numId w:val="3"/>
              </w:numPr>
              <w:rPr>
                <w:rFonts w:ascii="宋体" w:hAnsi="宋体" w:cs="宋体"/>
                <w:color w:val="auto"/>
                <w:sz w:val="20"/>
              </w:rPr>
            </w:pPr>
            <w:r>
              <w:rPr>
                <w:rFonts w:ascii="宋体" w:hAnsi="宋体" w:cs="宋体"/>
                <w:color w:val="auto"/>
                <w:sz w:val="20"/>
              </w:rPr>
              <w:t>可实现与图像控制器相接的RGB和Video矩阵的联动控制，自动完成相应的矩阵与图像控制器输入端口的切换。</w:t>
            </w:r>
          </w:p>
          <w:p>
            <w:pPr>
              <w:numPr>
                <w:ilvl w:val="0"/>
                <w:numId w:val="3"/>
              </w:numPr>
              <w:rPr>
                <w:rFonts w:ascii="宋体" w:hAnsi="宋体" w:cs="宋体"/>
                <w:color w:val="auto"/>
                <w:sz w:val="20"/>
              </w:rPr>
            </w:pPr>
            <w:r>
              <w:rPr>
                <w:rFonts w:ascii="宋体" w:hAnsi="宋体" w:cs="宋体"/>
                <w:color w:val="auto"/>
                <w:sz w:val="20"/>
              </w:rPr>
              <w:t>支持数据备份与恢复：可以将系统的各项设置数据进行备份，在系统重新安装时可方便进行数据恢复。</w:t>
            </w:r>
          </w:p>
          <w:p>
            <w:pPr>
              <w:numPr>
                <w:ilvl w:val="0"/>
                <w:numId w:val="3"/>
              </w:numPr>
              <w:rPr>
                <w:rFonts w:ascii="宋体" w:hAnsi="宋体" w:cs="宋体"/>
                <w:color w:val="auto"/>
                <w:sz w:val="20"/>
              </w:rPr>
            </w:pPr>
            <w:r>
              <w:rPr>
                <w:rFonts w:ascii="宋体" w:hAnsi="宋体" w:cs="宋体"/>
                <w:color w:val="auto"/>
                <w:sz w:val="20"/>
              </w:rPr>
              <w:t>大屏幕管理软件应为全中文界面，无需数据库支持，不需安装数据库引擎，方便维护、备份等系统管理，可向用户提供源代码进行二次开发，也可按照用户要求进行修改。</w:t>
            </w:r>
          </w:p>
          <w:p>
            <w:pPr>
              <w:rPr>
                <w:rFonts w:hint="eastAsia" w:ascii="宋体" w:hAnsi="宋体" w:cs="宋体"/>
                <w:color w:val="auto"/>
                <w:sz w:val="20"/>
              </w:rPr>
            </w:pPr>
            <w:r>
              <w:rPr>
                <w:rFonts w:hint="eastAsia"/>
                <w:color w:val="auto"/>
              </w:rPr>
              <w:t>★提供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与大屏同一品牌的同画面拼接软件著作权证书。提供证书复印件并加盖公章、官网查询截图。</w:t>
            </w:r>
          </w:p>
        </w:tc>
        <w:tc>
          <w:tcPr>
            <w:tcW w:w="41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1</w:t>
            </w:r>
          </w:p>
        </w:tc>
        <w:tc>
          <w:tcPr>
            <w:tcW w:w="2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4</w:t>
            </w:r>
          </w:p>
        </w:tc>
        <w:tc>
          <w:tcPr>
            <w:tcW w:w="3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安装结构</w:t>
            </w:r>
          </w:p>
        </w:tc>
        <w:tc>
          <w:tcPr>
            <w:tcW w:w="369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  <w:vAlign w:val="center"/>
          </w:tcPr>
          <w:p>
            <w:pPr>
              <w:pStyle w:val="13"/>
              <w:widowControl/>
              <w:numPr>
                <w:ilvl w:val="0"/>
                <w:numId w:val="4"/>
              </w:numPr>
              <w:spacing w:line="360" w:lineRule="auto"/>
              <w:ind w:firstLineChars="0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  <w:t>液晶拼接机柜采用优碳冷扎钢板数控剪板</w:t>
            </w:r>
            <w:bookmarkStart w:id="8" w:name="_GoBack"/>
            <w:bookmarkEnd w:id="8"/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  <w:t>、折弯、焊接加工，无缝隙，不受热胀冷缩等环境影响，保证液晶拼接的顺利安装。</w:t>
            </w:r>
          </w:p>
          <w:p>
            <w:pPr>
              <w:pStyle w:val="13"/>
              <w:widowControl/>
              <w:numPr>
                <w:ilvl w:val="0"/>
                <w:numId w:val="4"/>
              </w:numPr>
              <w:spacing w:line="360" w:lineRule="auto"/>
              <w:ind w:firstLineChars="0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  <w:t>单元机柜主体材料厚度不小于1.5mm，底座承重框架板材厚度不小于2.0mm，前后门板板材厚度不小于1.2mm；</w:t>
            </w:r>
          </w:p>
          <w:p>
            <w:pPr>
              <w:pStyle w:val="13"/>
              <w:widowControl/>
              <w:numPr>
                <w:ilvl w:val="0"/>
                <w:numId w:val="4"/>
              </w:numPr>
              <w:spacing w:line="360" w:lineRule="auto"/>
              <w:ind w:firstLineChars="0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  <w:t>单元模块化设计，可根据项目要求自由配置，满足后期项目的横向与纵向扩展；</w:t>
            </w:r>
          </w:p>
          <w:p>
            <w:pPr>
              <w:pStyle w:val="13"/>
              <w:widowControl/>
              <w:numPr>
                <w:ilvl w:val="0"/>
                <w:numId w:val="4"/>
              </w:numPr>
              <w:spacing w:line="360" w:lineRule="auto"/>
              <w:ind w:firstLineChars="0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  <w:t>底座独立设计，按项目要求的高度、厚度与内部结构加工；</w:t>
            </w:r>
          </w:p>
          <w:p>
            <w:pPr>
              <w:pStyle w:val="13"/>
              <w:widowControl/>
              <w:numPr>
                <w:ilvl w:val="0"/>
                <w:numId w:val="4"/>
              </w:numPr>
              <w:spacing w:line="360" w:lineRule="auto"/>
              <w:ind w:firstLineChars="0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  <w:t>积木式安装，安装时间快捷，机柜整体完成后，各相关部分线条整齐、平直，无高低现象；可纵向和横向安装，进行灵活拼接；</w:t>
            </w:r>
          </w:p>
          <w:p>
            <w:pPr>
              <w:pStyle w:val="13"/>
              <w:widowControl/>
              <w:numPr>
                <w:ilvl w:val="0"/>
                <w:numId w:val="4"/>
              </w:numPr>
              <w:spacing w:line="360" w:lineRule="auto"/>
              <w:ind w:firstLineChars="0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  <w:t>与用户环境基本协调，本身颜色均匀一致，可根据客户要求选择颜色，默认使用经典砂纹黑色；</w:t>
            </w:r>
          </w:p>
          <w:p>
            <w:pPr>
              <w:pStyle w:val="13"/>
              <w:widowControl/>
              <w:numPr>
                <w:ilvl w:val="0"/>
                <w:numId w:val="4"/>
              </w:numPr>
              <w:spacing w:line="360" w:lineRule="auto"/>
              <w:ind w:firstLineChars="0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  <w:t>酸洗磷化、静电喷塑处理，附着力强，安装后，无碰伤、划伤、脱落等现象；</w:t>
            </w:r>
          </w:p>
          <w:p>
            <w:pPr>
              <w:pStyle w:val="13"/>
              <w:widowControl/>
              <w:numPr>
                <w:ilvl w:val="0"/>
                <w:numId w:val="4"/>
              </w:numPr>
              <w:spacing w:line="360" w:lineRule="auto"/>
              <w:ind w:firstLineChars="0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  <w:t>每个液晶单元具有独立的六向调节，即左右、前后、上下双向调节，保证液晶拼接横向水平、纵向垂直，完美的拼接效果；</w:t>
            </w:r>
          </w:p>
          <w:p>
            <w:pPr>
              <w:pStyle w:val="13"/>
              <w:widowControl/>
              <w:numPr>
                <w:ilvl w:val="0"/>
                <w:numId w:val="4"/>
              </w:numPr>
              <w:spacing w:line="360" w:lineRule="auto"/>
              <w:ind w:firstLineChars="0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  <w:t>机柜带通风散热百叶窗，便于外部与机柜内部空气流通；</w:t>
            </w:r>
          </w:p>
          <w:p>
            <w:pPr>
              <w:pStyle w:val="13"/>
              <w:widowControl/>
              <w:numPr>
                <w:ilvl w:val="0"/>
                <w:numId w:val="4"/>
              </w:numPr>
              <w:spacing w:line="360" w:lineRule="auto"/>
              <w:ind w:firstLineChars="0"/>
              <w:rPr>
                <w:rFonts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  <w:t>每列机柜底座要求配有高质量品牌六位电源排插，带独立保险装置，与每列设备连接；</w:t>
            </w:r>
          </w:p>
          <w:p>
            <w:pPr>
              <w:pStyle w:val="13"/>
              <w:widowControl/>
              <w:numPr>
                <w:ilvl w:val="0"/>
                <w:numId w:val="4"/>
              </w:numPr>
              <w:spacing w:line="360" w:lineRule="auto"/>
              <w:ind w:firstLineChars="0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  <w:t>后维护安装，提供预留维护空间，空间不小于500mm。</w:t>
            </w:r>
          </w:p>
        </w:tc>
        <w:tc>
          <w:tcPr>
            <w:tcW w:w="41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9</w:t>
            </w:r>
          </w:p>
        </w:tc>
        <w:tc>
          <w:tcPr>
            <w:tcW w:w="2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5</w:t>
            </w:r>
          </w:p>
        </w:tc>
        <w:tc>
          <w:tcPr>
            <w:tcW w:w="3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其它辅助材料</w:t>
            </w:r>
          </w:p>
        </w:tc>
        <w:tc>
          <w:tcPr>
            <w:tcW w:w="369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auto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配套所需全部材料、辅料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lang w:val="en-US" w:eastAsia="zh-CN"/>
              </w:rPr>
              <w:t>及墙面、棚顶的装修与维护。</w:t>
            </w:r>
          </w:p>
        </w:tc>
        <w:tc>
          <w:tcPr>
            <w:tcW w:w="41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1</w:t>
            </w:r>
          </w:p>
        </w:tc>
        <w:tc>
          <w:tcPr>
            <w:tcW w:w="2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</w:rPr>
              <w:t>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auto"/>
                <w:kern w:val="0"/>
                <w:szCs w:val="21"/>
              </w:rPr>
            </w:pP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A5676F"/>
    <w:multiLevelType w:val="multilevel"/>
    <w:tmpl w:val="04A5676F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D8B391A"/>
    <w:multiLevelType w:val="multilevel"/>
    <w:tmpl w:val="0D8B391A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1D62E18"/>
    <w:multiLevelType w:val="multilevel"/>
    <w:tmpl w:val="31D62E18"/>
    <w:lvl w:ilvl="0" w:tentative="0">
      <w:start w:val="1"/>
      <w:numFmt w:val="lowerLetter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8184F3A"/>
    <w:multiLevelType w:val="multilevel"/>
    <w:tmpl w:val="58184F3A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EyYTA1MGU4MjNkMmU5YWI3ZDM0OWJjZmUyYTFkMWQifQ=="/>
  </w:docVars>
  <w:rsids>
    <w:rsidRoot w:val="00F14848"/>
    <w:rsid w:val="009D026F"/>
    <w:rsid w:val="00F14848"/>
    <w:rsid w:val="3EAD24DB"/>
    <w:rsid w:val="6333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annotation text"/>
    <w:basedOn w:val="1"/>
    <w:link w:val="16"/>
    <w:uiPriority w:val="0"/>
    <w:pPr>
      <w:jc w:val="left"/>
    </w:pPr>
  </w:style>
  <w:style w:type="paragraph" w:styleId="4">
    <w:name w:val="Balloon Text"/>
    <w:basedOn w:val="1"/>
    <w:link w:val="17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annotation reference"/>
    <w:uiPriority w:val="0"/>
    <w:rPr>
      <w:rFonts w:ascii="Tahoma" w:hAnsi="Tahoma"/>
      <w:sz w:val="21"/>
      <w:szCs w:val="21"/>
    </w:rPr>
  </w:style>
  <w:style w:type="character" w:customStyle="1" w:styleId="10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font5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3">
    <w:name w:val="列出段落1"/>
    <w:basedOn w:val="1"/>
    <w:link w:val="14"/>
    <w:unhideWhenUsed/>
    <w:qFormat/>
    <w:uiPriority w:val="34"/>
    <w:pPr>
      <w:ind w:firstLine="420" w:firstLineChars="200"/>
    </w:pPr>
  </w:style>
  <w:style w:type="character" w:customStyle="1" w:styleId="14">
    <w:name w:val="列出段落 Char"/>
    <w:link w:val="13"/>
    <w:qFormat/>
    <w:locked/>
    <w:uiPriority w:val="34"/>
    <w:rPr>
      <w:rFonts w:ascii="Times New Roman" w:hAnsi="Times New Roman" w:eastAsia="宋体" w:cs="Times New Roman"/>
      <w:szCs w:val="20"/>
    </w:rPr>
  </w:style>
  <w:style w:type="character" w:customStyle="1" w:styleId="15">
    <w:name w:val="批注文字 Char"/>
    <w:basedOn w:val="8"/>
    <w:link w:val="3"/>
    <w:semiHidden/>
    <w:qFormat/>
    <w:uiPriority w:val="99"/>
    <w:rPr>
      <w:rFonts w:ascii="Times New Roman" w:hAnsi="Times New Roman" w:eastAsia="宋体" w:cs="Times New Roman"/>
      <w:szCs w:val="20"/>
    </w:rPr>
  </w:style>
  <w:style w:type="character" w:customStyle="1" w:styleId="16">
    <w:name w:val="批注文字 字符"/>
    <w:link w:val="3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17">
    <w:name w:val="批注框文本 Char"/>
    <w:basedOn w:val="8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4613</Words>
  <Characters>5220</Characters>
  <Lines>39</Lines>
  <Paragraphs>11</Paragraphs>
  <TotalTime>16</TotalTime>
  <ScaleCrop>false</ScaleCrop>
  <LinksUpToDate>false</LinksUpToDate>
  <CharactersWithSpaces>5259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2022-09-28T02:01:00Z</dcterms:created>
  <dc:creator>PC</dc:creator>
  <cp:lastModifiedBy>WPS_1602302482</cp:lastModifiedBy>
  <cp:lastPrinted>2022-10-16T06:46:19Z</cp:lastPrinted>
  <dcterms:modified xsi:type="dcterms:W3CDTF">2022-10-16T06:46:23Z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13AB24DE804C45D1850CA2124AE33A22</vt:lpwstr>
  </property>
</Properties>
</file>